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4E" w:rsidRPr="00D30136" w:rsidRDefault="0009744E" w:rsidP="0009744E">
      <w:pPr>
        <w:autoSpaceDN w:val="0"/>
        <w:adjustRightInd w:val="0"/>
        <w:spacing w:after="0" w:line="240" w:lineRule="auto"/>
        <w:jc w:val="right"/>
        <w:rPr>
          <w:rFonts w:asciiTheme="minorHAnsi" w:hAnsiTheme="minorHAnsi" w:cstheme="minorHAnsi"/>
          <w:b/>
          <w:bCs/>
          <w:color w:val="000000"/>
          <w:sz w:val="26"/>
          <w:szCs w:val="26"/>
          <w:lang w:val="ro-RO"/>
        </w:rPr>
      </w:pPr>
      <w:bookmarkStart w:id="0" w:name="_GoBack"/>
      <w:bookmarkEnd w:id="0"/>
      <w:r w:rsidRPr="00D30136">
        <w:rPr>
          <w:rFonts w:asciiTheme="minorHAnsi" w:hAnsiTheme="minorHAnsi" w:cstheme="minorHAnsi"/>
          <w:sz w:val="26"/>
          <w:szCs w:val="26"/>
          <w:lang w:val="ro-RO"/>
        </w:rPr>
        <w:drawing>
          <wp:anchor distT="0" distB="0" distL="114300" distR="114300" simplePos="0" relativeHeight="251659264" behindDoc="1" locked="0" layoutInCell="1" allowOverlap="1" wp14:anchorId="64BD5A47" wp14:editId="4F3D39BF">
            <wp:simplePos x="0" y="0"/>
            <wp:positionH relativeFrom="column">
              <wp:posOffset>14605</wp:posOffset>
            </wp:positionH>
            <wp:positionV relativeFrom="paragraph">
              <wp:posOffset>114300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D30136">
        <w:rPr>
          <w:rFonts w:asciiTheme="minorHAnsi" w:hAnsiTheme="minorHAnsi" w:cstheme="minorHAnsi"/>
          <w:b/>
          <w:bCs/>
          <w:color w:val="000000"/>
          <w:sz w:val="26"/>
          <w:szCs w:val="26"/>
          <w:lang w:val="ro-RO"/>
        </w:rPr>
        <w:t xml:space="preserve">INSTITUTUL NAŢIONAL PENTRU </w:t>
      </w:r>
    </w:p>
    <w:p w:rsidR="0009744E" w:rsidRPr="00D30136" w:rsidRDefault="0009744E" w:rsidP="0009744E">
      <w:pPr>
        <w:autoSpaceDN w:val="0"/>
        <w:adjustRightInd w:val="0"/>
        <w:spacing w:after="0" w:line="240" w:lineRule="auto"/>
        <w:jc w:val="right"/>
        <w:rPr>
          <w:rFonts w:asciiTheme="minorHAnsi" w:hAnsiTheme="minorHAnsi" w:cstheme="minorHAnsi"/>
          <w:b/>
          <w:bCs/>
          <w:color w:val="000000"/>
          <w:sz w:val="26"/>
          <w:szCs w:val="26"/>
          <w:lang w:val="ro-RO"/>
        </w:rPr>
      </w:pPr>
      <w:r w:rsidRPr="00D30136">
        <w:rPr>
          <w:rFonts w:asciiTheme="minorHAnsi" w:hAnsiTheme="minorHAnsi" w:cstheme="minorHAnsi"/>
          <w:b/>
          <w:bCs/>
          <w:color w:val="000000"/>
          <w:sz w:val="26"/>
          <w:szCs w:val="26"/>
          <w:lang w:val="ro-RO"/>
        </w:rPr>
        <w:t xml:space="preserve">PREGĂTIREA ŞI PERFECŢIONAREA AVOCAŢILOR </w:t>
      </w:r>
    </w:p>
    <w:p w:rsidR="0009744E" w:rsidRPr="00D30136" w:rsidRDefault="0009744E" w:rsidP="0009744E">
      <w:pPr>
        <w:autoSpaceDN w:val="0"/>
        <w:adjustRightInd w:val="0"/>
        <w:spacing w:after="0" w:line="240" w:lineRule="auto"/>
        <w:jc w:val="right"/>
        <w:rPr>
          <w:rFonts w:asciiTheme="minorHAnsi" w:hAnsiTheme="minorHAnsi" w:cstheme="minorHAnsi"/>
          <w:b/>
          <w:bCs/>
          <w:color w:val="000000"/>
          <w:sz w:val="26"/>
          <w:szCs w:val="26"/>
          <w:lang w:val="ro-RO"/>
        </w:rPr>
      </w:pPr>
    </w:p>
    <w:p w:rsidR="0009744E" w:rsidRPr="00D30136" w:rsidRDefault="0009744E" w:rsidP="0009744E">
      <w:pPr>
        <w:autoSpaceDN w:val="0"/>
        <w:adjustRightInd w:val="0"/>
        <w:spacing w:after="0" w:line="240" w:lineRule="auto"/>
        <w:jc w:val="right"/>
        <w:rPr>
          <w:rFonts w:asciiTheme="minorHAnsi" w:hAnsiTheme="minorHAnsi" w:cstheme="minorHAnsi"/>
          <w:b/>
          <w:bCs/>
          <w:color w:val="000000"/>
          <w:sz w:val="26"/>
          <w:szCs w:val="26"/>
          <w:lang w:val="ro-RO"/>
        </w:rPr>
      </w:pPr>
      <w:r w:rsidRPr="00D30136">
        <w:rPr>
          <w:rFonts w:asciiTheme="minorHAnsi" w:hAnsiTheme="minorHAnsi" w:cstheme="minorHAnsi"/>
          <w:b/>
          <w:bCs/>
          <w:color w:val="000000"/>
          <w:sz w:val="26"/>
          <w:szCs w:val="26"/>
          <w:lang w:val="ro-RO"/>
        </w:rPr>
        <w:t>EXAMEN ABSOLVIRE</w:t>
      </w:r>
    </w:p>
    <w:p w:rsidR="0009744E" w:rsidRPr="00D30136" w:rsidRDefault="0009744E" w:rsidP="0009744E">
      <w:pPr>
        <w:autoSpaceDN w:val="0"/>
        <w:adjustRightInd w:val="0"/>
        <w:spacing w:after="0" w:line="240" w:lineRule="auto"/>
        <w:jc w:val="right"/>
        <w:rPr>
          <w:rFonts w:asciiTheme="minorHAnsi" w:hAnsiTheme="minorHAnsi" w:cstheme="minorHAnsi"/>
          <w:b/>
          <w:bCs/>
          <w:color w:val="000000"/>
          <w:sz w:val="26"/>
          <w:szCs w:val="26"/>
          <w:lang w:val="ro-RO"/>
        </w:rPr>
      </w:pPr>
      <w:r w:rsidRPr="00D30136">
        <w:rPr>
          <w:rFonts w:asciiTheme="minorHAnsi" w:hAnsiTheme="minorHAnsi" w:cstheme="minorHAnsi"/>
          <w:b/>
          <w:bCs/>
          <w:color w:val="000000"/>
          <w:sz w:val="26"/>
          <w:szCs w:val="26"/>
          <w:lang w:val="ro-RO"/>
        </w:rPr>
        <w:t xml:space="preserve">SESIUNEA NOIEMBRIE 2018 </w:t>
      </w:r>
    </w:p>
    <w:p w:rsidR="00B53E5C" w:rsidRPr="00D30136" w:rsidRDefault="00016607" w:rsidP="0032346F">
      <w:pPr>
        <w:spacing w:after="0"/>
        <w:jc w:val="both"/>
        <w:rPr>
          <w:rFonts w:asciiTheme="minorHAnsi" w:hAnsiTheme="minorHAnsi" w:cstheme="minorHAnsi"/>
          <w:b/>
          <w:i/>
          <w:sz w:val="26"/>
          <w:szCs w:val="26"/>
          <w:lang w:val="ro-RO"/>
        </w:rPr>
      </w:pPr>
      <w:r w:rsidRPr="00D30136">
        <w:rPr>
          <w:rFonts w:asciiTheme="minorHAnsi" w:hAnsiTheme="minorHAnsi" w:cstheme="minorHAnsi"/>
          <w:b/>
          <w:i/>
          <w:sz w:val="26"/>
          <w:szCs w:val="26"/>
          <w:lang w:val="ro-RO"/>
        </w:rPr>
        <w:t xml:space="preserve">Dreptul </w:t>
      </w:r>
      <w:r w:rsidR="00D30136" w:rsidRPr="00D30136">
        <w:rPr>
          <w:rFonts w:asciiTheme="minorHAnsi" w:hAnsiTheme="minorHAnsi" w:cstheme="minorHAnsi"/>
          <w:b/>
          <w:i/>
          <w:sz w:val="26"/>
          <w:szCs w:val="26"/>
          <w:lang w:val="ro-RO"/>
        </w:rPr>
        <w:t>Uniunii Europene</w:t>
      </w:r>
    </w:p>
    <w:p w:rsidR="00870748" w:rsidRPr="00D30136" w:rsidRDefault="00870748" w:rsidP="00B53E5C">
      <w:pPr>
        <w:spacing w:after="0"/>
        <w:jc w:val="both"/>
        <w:rPr>
          <w:rFonts w:asciiTheme="minorHAnsi" w:hAnsiTheme="minorHAnsi" w:cstheme="minorHAnsi"/>
          <w:b/>
          <w:sz w:val="26"/>
          <w:szCs w:val="26"/>
          <w:lang w:val="ro-RO"/>
        </w:rPr>
      </w:pPr>
    </w:p>
    <w:p w:rsidR="00870748" w:rsidRPr="00D30136" w:rsidRDefault="00016607" w:rsidP="0032346F">
      <w:pPr>
        <w:spacing w:after="0"/>
        <w:jc w:val="both"/>
        <w:rPr>
          <w:rFonts w:asciiTheme="minorHAnsi" w:hAnsiTheme="minorHAnsi" w:cstheme="minorHAnsi"/>
          <w:b/>
          <w:i/>
          <w:sz w:val="26"/>
          <w:szCs w:val="26"/>
          <w:u w:val="single"/>
          <w:lang w:val="ro-RO"/>
        </w:rPr>
      </w:pPr>
      <w:r w:rsidRPr="00D30136">
        <w:rPr>
          <w:rFonts w:asciiTheme="minorHAnsi" w:hAnsiTheme="minorHAnsi" w:cstheme="minorHAnsi"/>
          <w:b/>
          <w:i/>
          <w:sz w:val="26"/>
          <w:szCs w:val="26"/>
          <w:u w:val="single"/>
          <w:lang w:val="ro-RO"/>
        </w:rPr>
        <w:t>Speţa 1</w:t>
      </w:r>
    </w:p>
    <w:p w:rsidR="00B53E5C" w:rsidRPr="00D30136" w:rsidRDefault="00B53E5C" w:rsidP="00D30136">
      <w:pPr>
        <w:spacing w:after="0" w:line="240" w:lineRule="auto"/>
        <w:ind w:firstLine="720"/>
        <w:jc w:val="both"/>
        <w:rPr>
          <w:rFonts w:asciiTheme="minorHAnsi" w:hAnsiTheme="minorHAnsi" w:cstheme="minorHAnsi"/>
          <w:b/>
          <w:sz w:val="26"/>
          <w:szCs w:val="26"/>
          <w:lang w:val="ro-RO"/>
        </w:rPr>
      </w:pP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r w:rsidRPr="00D30136">
        <w:rPr>
          <w:rFonts w:asciiTheme="minorHAnsi" w:hAnsiTheme="minorHAnsi" w:cstheme="minorHAnsi"/>
          <w:sz w:val="26"/>
          <w:szCs w:val="26"/>
          <w:lang w:val="ro-RO"/>
        </w:rPr>
        <w:t xml:space="preserve">Societatea </w:t>
      </w:r>
      <w:r w:rsidRPr="00D30136">
        <w:rPr>
          <w:rFonts w:asciiTheme="minorHAnsi" w:hAnsiTheme="minorHAnsi" w:cstheme="minorHAnsi"/>
          <w:i/>
          <w:sz w:val="26"/>
          <w:szCs w:val="26"/>
          <w:lang w:val="ro-RO"/>
        </w:rPr>
        <w:t xml:space="preserve">Back </w:t>
      </w:r>
      <w:proofErr w:type="spellStart"/>
      <w:r w:rsidRPr="00D30136">
        <w:rPr>
          <w:rFonts w:asciiTheme="minorHAnsi" w:hAnsiTheme="minorHAnsi" w:cstheme="minorHAnsi"/>
          <w:i/>
          <w:sz w:val="26"/>
          <w:szCs w:val="26"/>
          <w:lang w:val="ro-RO"/>
        </w:rPr>
        <w:t>to</w:t>
      </w:r>
      <w:proofErr w:type="spellEnd"/>
      <w:r w:rsidRPr="00D30136">
        <w:rPr>
          <w:rFonts w:asciiTheme="minorHAnsi" w:hAnsiTheme="minorHAnsi" w:cstheme="minorHAnsi"/>
          <w:i/>
          <w:sz w:val="26"/>
          <w:szCs w:val="26"/>
          <w:lang w:val="ro-RO"/>
        </w:rPr>
        <w:t xml:space="preserve"> </w:t>
      </w:r>
      <w:proofErr w:type="spellStart"/>
      <w:r w:rsidRPr="00D30136">
        <w:rPr>
          <w:rFonts w:asciiTheme="minorHAnsi" w:hAnsiTheme="minorHAnsi" w:cstheme="minorHAnsi"/>
          <w:i/>
          <w:sz w:val="26"/>
          <w:szCs w:val="26"/>
          <w:lang w:val="ro-RO"/>
        </w:rPr>
        <w:t>School</w:t>
      </w:r>
      <w:proofErr w:type="spellEnd"/>
      <w:r w:rsidRPr="00D30136">
        <w:rPr>
          <w:rFonts w:asciiTheme="minorHAnsi" w:hAnsiTheme="minorHAnsi" w:cstheme="minorHAnsi"/>
          <w:i/>
          <w:sz w:val="26"/>
          <w:szCs w:val="26"/>
          <w:lang w:val="ro-RO"/>
        </w:rPr>
        <w:t xml:space="preserve">¸ </w:t>
      </w:r>
      <w:r w:rsidRPr="00D30136">
        <w:rPr>
          <w:rFonts w:asciiTheme="minorHAnsi" w:hAnsiTheme="minorHAnsi" w:cstheme="minorHAnsi"/>
          <w:sz w:val="26"/>
          <w:szCs w:val="26"/>
          <w:lang w:val="ro-RO"/>
        </w:rPr>
        <w:t xml:space="preserve">având naționalitatea unui stat membru al Uniunii Europene, este specializată în domeniul educaţiei, oferind servicii de formare prin intermediul unei pagini pentru fani găzduite de </w:t>
      </w:r>
      <w:proofErr w:type="spellStart"/>
      <w:r w:rsidRPr="00D30136">
        <w:rPr>
          <w:rFonts w:asciiTheme="minorHAnsi" w:hAnsiTheme="minorHAnsi" w:cstheme="minorHAnsi"/>
          <w:sz w:val="26"/>
          <w:szCs w:val="26"/>
          <w:lang w:val="ro-RO"/>
        </w:rPr>
        <w:t>Facebook</w:t>
      </w:r>
      <w:proofErr w:type="spellEnd"/>
      <w:r w:rsidRPr="00D30136">
        <w:rPr>
          <w:rFonts w:asciiTheme="minorHAnsi" w:hAnsiTheme="minorHAnsi" w:cstheme="minorHAnsi"/>
          <w:sz w:val="26"/>
          <w:szCs w:val="26"/>
          <w:lang w:val="ro-RO"/>
        </w:rPr>
        <w:t xml:space="preserve"> la adresa www.facebook.com/backtoschool. </w:t>
      </w: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r w:rsidRPr="00D30136">
        <w:rPr>
          <w:rFonts w:asciiTheme="minorHAnsi" w:hAnsiTheme="minorHAnsi" w:cstheme="minorHAnsi"/>
          <w:sz w:val="26"/>
          <w:szCs w:val="26"/>
          <w:lang w:val="ro-RO"/>
        </w:rPr>
        <w:t xml:space="preserve">Administratorul acestei pagini poate obţine date statistice anonime privind vizitatorii paginii cu ajutorul unei funcţii intitulate </w:t>
      </w:r>
      <w:proofErr w:type="spellStart"/>
      <w:r w:rsidRPr="00D30136">
        <w:rPr>
          <w:rFonts w:asciiTheme="minorHAnsi" w:hAnsiTheme="minorHAnsi" w:cstheme="minorHAnsi"/>
          <w:sz w:val="26"/>
          <w:szCs w:val="26"/>
          <w:lang w:val="ro-RO"/>
        </w:rPr>
        <w:t>Facebook</w:t>
      </w:r>
      <w:proofErr w:type="spellEnd"/>
      <w:r w:rsidRPr="00D30136">
        <w:rPr>
          <w:rFonts w:asciiTheme="minorHAnsi" w:hAnsiTheme="minorHAnsi" w:cstheme="minorHAnsi"/>
          <w:sz w:val="26"/>
          <w:szCs w:val="26"/>
          <w:lang w:val="ro-RO"/>
        </w:rPr>
        <w:t xml:space="preserve"> </w:t>
      </w:r>
      <w:proofErr w:type="spellStart"/>
      <w:r w:rsidRPr="00D30136">
        <w:rPr>
          <w:rFonts w:asciiTheme="minorHAnsi" w:hAnsiTheme="minorHAnsi" w:cstheme="minorHAnsi"/>
          <w:sz w:val="26"/>
          <w:szCs w:val="26"/>
          <w:lang w:val="ro-RO"/>
        </w:rPr>
        <w:t>Insight</w:t>
      </w:r>
      <w:proofErr w:type="spellEnd"/>
      <w:r w:rsidRPr="00D30136">
        <w:rPr>
          <w:rFonts w:asciiTheme="minorHAnsi" w:hAnsiTheme="minorHAnsi" w:cstheme="minorHAnsi"/>
          <w:sz w:val="26"/>
          <w:szCs w:val="26"/>
          <w:lang w:val="ro-RO"/>
        </w:rPr>
        <w:t xml:space="preserve">, puse în mod gratuit la dispoziția sa de </w:t>
      </w:r>
      <w:proofErr w:type="spellStart"/>
      <w:r w:rsidRPr="00D30136">
        <w:rPr>
          <w:rFonts w:asciiTheme="minorHAnsi" w:hAnsiTheme="minorHAnsi" w:cstheme="minorHAnsi"/>
          <w:sz w:val="26"/>
          <w:szCs w:val="26"/>
          <w:lang w:val="ro-RO"/>
        </w:rPr>
        <w:t>Facebook</w:t>
      </w:r>
      <w:proofErr w:type="spellEnd"/>
      <w:r w:rsidRPr="00D30136">
        <w:rPr>
          <w:rFonts w:asciiTheme="minorHAnsi" w:hAnsiTheme="minorHAnsi" w:cstheme="minorHAnsi"/>
          <w:sz w:val="26"/>
          <w:szCs w:val="26"/>
          <w:lang w:val="ro-RO"/>
        </w:rPr>
        <w:t xml:space="preserve">, potrivit condițiilor de utilizare care nu pot fi modificate. Aceste date sunt colectate cu ajutorul unor fişiere-martori („cookies”) care conţin, fiecare, câte un cod de utilizator unic, active timp de doi ani şi salvate de </w:t>
      </w:r>
      <w:proofErr w:type="spellStart"/>
      <w:r w:rsidRPr="00D30136">
        <w:rPr>
          <w:rFonts w:asciiTheme="minorHAnsi" w:hAnsiTheme="minorHAnsi" w:cstheme="minorHAnsi"/>
          <w:sz w:val="26"/>
          <w:szCs w:val="26"/>
          <w:lang w:val="ro-RO"/>
        </w:rPr>
        <w:t>Facebook</w:t>
      </w:r>
      <w:proofErr w:type="spellEnd"/>
      <w:r w:rsidRPr="00D30136">
        <w:rPr>
          <w:rFonts w:asciiTheme="minorHAnsi" w:hAnsiTheme="minorHAnsi" w:cstheme="minorHAnsi"/>
          <w:sz w:val="26"/>
          <w:szCs w:val="26"/>
          <w:lang w:val="ro-RO"/>
        </w:rPr>
        <w:t xml:space="preserve">. Codul de utilizator, care poate stabili o legătură cu datele de conectare ale utilizatorilor înregistrați pe </w:t>
      </w:r>
      <w:proofErr w:type="spellStart"/>
      <w:r w:rsidRPr="00D30136">
        <w:rPr>
          <w:rFonts w:asciiTheme="minorHAnsi" w:hAnsiTheme="minorHAnsi" w:cstheme="minorHAnsi"/>
          <w:sz w:val="26"/>
          <w:szCs w:val="26"/>
          <w:lang w:val="ro-RO"/>
        </w:rPr>
        <w:t>Facebook</w:t>
      </w:r>
      <w:proofErr w:type="spellEnd"/>
      <w:r w:rsidRPr="00D30136">
        <w:rPr>
          <w:rFonts w:asciiTheme="minorHAnsi" w:hAnsiTheme="minorHAnsi" w:cstheme="minorHAnsi"/>
          <w:sz w:val="26"/>
          <w:szCs w:val="26"/>
          <w:lang w:val="ro-RO"/>
        </w:rPr>
        <w:t>, este colectat și prelucrat în momentul deschiderii paginilor pentru fani.</w:t>
      </w: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r w:rsidRPr="00D30136">
        <w:rPr>
          <w:rFonts w:asciiTheme="minorHAnsi" w:hAnsiTheme="minorHAnsi" w:cstheme="minorHAnsi"/>
          <w:sz w:val="26"/>
          <w:szCs w:val="26"/>
          <w:lang w:val="ro-RO"/>
        </w:rPr>
        <w:t xml:space="preserve">La data de 3 septembrie 2018, societatea </w:t>
      </w:r>
      <w:r w:rsidRPr="00D30136">
        <w:rPr>
          <w:rFonts w:asciiTheme="minorHAnsi" w:hAnsiTheme="minorHAnsi" w:cstheme="minorHAnsi"/>
          <w:i/>
          <w:sz w:val="26"/>
          <w:szCs w:val="26"/>
          <w:lang w:val="ro-RO"/>
        </w:rPr>
        <w:t xml:space="preserve">Back </w:t>
      </w:r>
      <w:proofErr w:type="spellStart"/>
      <w:r w:rsidRPr="00D30136">
        <w:rPr>
          <w:rFonts w:asciiTheme="minorHAnsi" w:hAnsiTheme="minorHAnsi" w:cstheme="minorHAnsi"/>
          <w:i/>
          <w:sz w:val="26"/>
          <w:szCs w:val="26"/>
          <w:lang w:val="ro-RO"/>
        </w:rPr>
        <w:t>to</w:t>
      </w:r>
      <w:proofErr w:type="spellEnd"/>
      <w:r w:rsidRPr="00D30136">
        <w:rPr>
          <w:rFonts w:asciiTheme="minorHAnsi" w:hAnsiTheme="minorHAnsi" w:cstheme="minorHAnsi"/>
          <w:i/>
          <w:sz w:val="26"/>
          <w:szCs w:val="26"/>
          <w:lang w:val="ro-RO"/>
        </w:rPr>
        <w:t xml:space="preserve"> </w:t>
      </w:r>
      <w:proofErr w:type="spellStart"/>
      <w:r w:rsidRPr="00D30136">
        <w:rPr>
          <w:rFonts w:asciiTheme="minorHAnsi" w:hAnsiTheme="minorHAnsi" w:cstheme="minorHAnsi"/>
          <w:i/>
          <w:sz w:val="26"/>
          <w:szCs w:val="26"/>
          <w:lang w:val="ro-RO"/>
        </w:rPr>
        <w:t>School</w:t>
      </w:r>
      <w:proofErr w:type="spellEnd"/>
      <w:r w:rsidRPr="00D30136">
        <w:rPr>
          <w:rFonts w:asciiTheme="minorHAnsi" w:hAnsiTheme="minorHAnsi" w:cstheme="minorHAnsi"/>
          <w:i/>
          <w:sz w:val="26"/>
          <w:szCs w:val="26"/>
          <w:lang w:val="ro-RO"/>
        </w:rPr>
        <w:t xml:space="preserve"> </w:t>
      </w:r>
      <w:r w:rsidRPr="00D30136">
        <w:rPr>
          <w:rFonts w:asciiTheme="minorHAnsi" w:hAnsiTheme="minorHAnsi" w:cstheme="minorHAnsi"/>
          <w:sz w:val="26"/>
          <w:szCs w:val="26"/>
          <w:lang w:val="ro-RO"/>
        </w:rPr>
        <w:t xml:space="preserve">a fost somată de către Autoritatea regională independentă de protecţie a datelor din statul membru al Uniunii Europene a cărui naționalitate o are, să dezactiveze pagina sa pentru fani, pe motiv că nici </w:t>
      </w:r>
      <w:r w:rsidRPr="00D30136">
        <w:rPr>
          <w:rFonts w:asciiTheme="minorHAnsi" w:hAnsiTheme="minorHAnsi" w:cstheme="minorHAnsi"/>
          <w:i/>
          <w:sz w:val="26"/>
          <w:szCs w:val="26"/>
          <w:lang w:val="ro-RO"/>
        </w:rPr>
        <w:t xml:space="preserve">Back </w:t>
      </w:r>
      <w:proofErr w:type="spellStart"/>
      <w:r w:rsidRPr="00D30136">
        <w:rPr>
          <w:rFonts w:asciiTheme="minorHAnsi" w:hAnsiTheme="minorHAnsi" w:cstheme="minorHAnsi"/>
          <w:i/>
          <w:sz w:val="26"/>
          <w:szCs w:val="26"/>
          <w:lang w:val="ro-RO"/>
        </w:rPr>
        <w:t>to</w:t>
      </w:r>
      <w:proofErr w:type="spellEnd"/>
      <w:r w:rsidRPr="00D30136">
        <w:rPr>
          <w:rFonts w:asciiTheme="minorHAnsi" w:hAnsiTheme="minorHAnsi" w:cstheme="minorHAnsi"/>
          <w:i/>
          <w:sz w:val="26"/>
          <w:szCs w:val="26"/>
          <w:lang w:val="ro-RO"/>
        </w:rPr>
        <w:t xml:space="preserve"> </w:t>
      </w:r>
      <w:proofErr w:type="spellStart"/>
      <w:r w:rsidRPr="00D30136">
        <w:rPr>
          <w:rFonts w:asciiTheme="minorHAnsi" w:hAnsiTheme="minorHAnsi" w:cstheme="minorHAnsi"/>
          <w:i/>
          <w:sz w:val="26"/>
          <w:szCs w:val="26"/>
          <w:lang w:val="ro-RO"/>
        </w:rPr>
        <w:t>School</w:t>
      </w:r>
      <w:proofErr w:type="spellEnd"/>
      <w:r w:rsidRPr="00D30136">
        <w:rPr>
          <w:rFonts w:asciiTheme="minorHAnsi" w:hAnsiTheme="minorHAnsi" w:cstheme="minorHAnsi"/>
          <w:i/>
          <w:sz w:val="26"/>
          <w:szCs w:val="26"/>
          <w:lang w:val="ro-RO"/>
        </w:rPr>
        <w:t xml:space="preserve">, </w:t>
      </w:r>
      <w:r w:rsidRPr="00D30136">
        <w:rPr>
          <w:rFonts w:asciiTheme="minorHAnsi" w:hAnsiTheme="minorHAnsi" w:cstheme="minorHAnsi"/>
          <w:sz w:val="26"/>
          <w:szCs w:val="26"/>
          <w:lang w:val="ro-RO"/>
        </w:rPr>
        <w:t xml:space="preserve">nici </w:t>
      </w:r>
      <w:proofErr w:type="spellStart"/>
      <w:r w:rsidRPr="00D30136">
        <w:rPr>
          <w:rFonts w:asciiTheme="minorHAnsi" w:hAnsiTheme="minorHAnsi" w:cstheme="minorHAnsi"/>
          <w:sz w:val="26"/>
          <w:szCs w:val="26"/>
          <w:lang w:val="ro-RO"/>
        </w:rPr>
        <w:t>Facebook</w:t>
      </w:r>
      <w:proofErr w:type="spellEnd"/>
      <w:r w:rsidRPr="00D30136">
        <w:rPr>
          <w:rFonts w:asciiTheme="minorHAnsi" w:hAnsiTheme="minorHAnsi" w:cstheme="minorHAnsi"/>
          <w:sz w:val="26"/>
          <w:szCs w:val="26"/>
          <w:lang w:val="ro-RO"/>
        </w:rPr>
        <w:t xml:space="preserve"> nu a informat vizitatorii paginii pentru fani că </w:t>
      </w:r>
      <w:proofErr w:type="spellStart"/>
      <w:r w:rsidRPr="00D30136">
        <w:rPr>
          <w:rFonts w:asciiTheme="minorHAnsi" w:hAnsiTheme="minorHAnsi" w:cstheme="minorHAnsi"/>
          <w:sz w:val="26"/>
          <w:szCs w:val="26"/>
          <w:lang w:val="ro-RO"/>
        </w:rPr>
        <w:t>Facebook</w:t>
      </w:r>
      <w:proofErr w:type="spellEnd"/>
      <w:r w:rsidRPr="00D30136">
        <w:rPr>
          <w:rFonts w:asciiTheme="minorHAnsi" w:hAnsiTheme="minorHAnsi" w:cstheme="minorHAnsi"/>
          <w:sz w:val="26"/>
          <w:szCs w:val="26"/>
          <w:lang w:val="ro-RO"/>
        </w:rPr>
        <w:t xml:space="preserve"> colecta, cu ajutorul unor cookies, informaţii cu caracter personal care îi vizau și că acestea prelucrau apoi respectivele informaţii.</w:t>
      </w: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r w:rsidRPr="00D30136">
        <w:rPr>
          <w:rFonts w:asciiTheme="minorHAnsi" w:hAnsiTheme="minorHAnsi" w:cstheme="minorHAnsi"/>
          <w:i/>
          <w:sz w:val="26"/>
          <w:szCs w:val="26"/>
          <w:lang w:val="ro-RO"/>
        </w:rPr>
        <w:t xml:space="preserve">Back </w:t>
      </w:r>
      <w:proofErr w:type="spellStart"/>
      <w:r w:rsidRPr="00D30136">
        <w:rPr>
          <w:rFonts w:asciiTheme="minorHAnsi" w:hAnsiTheme="minorHAnsi" w:cstheme="minorHAnsi"/>
          <w:i/>
          <w:sz w:val="26"/>
          <w:szCs w:val="26"/>
          <w:lang w:val="ro-RO"/>
        </w:rPr>
        <w:t>to</w:t>
      </w:r>
      <w:proofErr w:type="spellEnd"/>
      <w:r w:rsidRPr="00D30136">
        <w:rPr>
          <w:rFonts w:asciiTheme="minorHAnsi" w:hAnsiTheme="minorHAnsi" w:cstheme="minorHAnsi"/>
          <w:i/>
          <w:sz w:val="26"/>
          <w:szCs w:val="26"/>
          <w:lang w:val="ro-RO"/>
        </w:rPr>
        <w:t xml:space="preserve"> </w:t>
      </w:r>
      <w:proofErr w:type="spellStart"/>
      <w:r w:rsidRPr="00D30136">
        <w:rPr>
          <w:rFonts w:asciiTheme="minorHAnsi" w:hAnsiTheme="minorHAnsi" w:cstheme="minorHAnsi"/>
          <w:i/>
          <w:sz w:val="26"/>
          <w:szCs w:val="26"/>
          <w:lang w:val="ro-RO"/>
        </w:rPr>
        <w:t>School</w:t>
      </w:r>
      <w:proofErr w:type="spellEnd"/>
      <w:r w:rsidRPr="00D30136">
        <w:rPr>
          <w:rFonts w:asciiTheme="minorHAnsi" w:hAnsiTheme="minorHAnsi" w:cstheme="minorHAnsi"/>
          <w:sz w:val="26"/>
          <w:szCs w:val="26"/>
          <w:lang w:val="ro-RO"/>
        </w:rPr>
        <w:t xml:space="preserve"> a introdus o acțiune împotriva acestei decizii la instanța administrativă competentă, susţinând că prelucrarea datelor cu caracter personal efectuată de </w:t>
      </w:r>
      <w:proofErr w:type="spellStart"/>
      <w:r w:rsidRPr="00D30136">
        <w:rPr>
          <w:rFonts w:asciiTheme="minorHAnsi" w:hAnsiTheme="minorHAnsi" w:cstheme="minorHAnsi"/>
          <w:sz w:val="26"/>
          <w:szCs w:val="26"/>
          <w:lang w:val="ro-RO"/>
        </w:rPr>
        <w:t>Facebook</w:t>
      </w:r>
      <w:proofErr w:type="spellEnd"/>
      <w:r w:rsidRPr="00D30136">
        <w:rPr>
          <w:rFonts w:asciiTheme="minorHAnsi" w:hAnsiTheme="minorHAnsi" w:cstheme="minorHAnsi"/>
          <w:sz w:val="26"/>
          <w:szCs w:val="26"/>
          <w:lang w:val="ro-RO"/>
        </w:rPr>
        <w:t xml:space="preserve"> nu poate să îi fie imputată și că nu ea a însărcinat </w:t>
      </w:r>
      <w:proofErr w:type="spellStart"/>
      <w:r w:rsidRPr="00D30136">
        <w:rPr>
          <w:rFonts w:asciiTheme="minorHAnsi" w:hAnsiTheme="minorHAnsi" w:cstheme="minorHAnsi"/>
          <w:sz w:val="26"/>
          <w:szCs w:val="26"/>
          <w:lang w:val="ro-RO"/>
        </w:rPr>
        <w:t>Facebook</w:t>
      </w:r>
      <w:proofErr w:type="spellEnd"/>
      <w:r w:rsidRPr="00D30136">
        <w:rPr>
          <w:rFonts w:asciiTheme="minorHAnsi" w:hAnsiTheme="minorHAnsi" w:cstheme="minorHAnsi"/>
          <w:sz w:val="26"/>
          <w:szCs w:val="26"/>
          <w:lang w:val="ro-RO"/>
        </w:rPr>
        <w:t xml:space="preserve"> să procedeze la prelucrarea unor date pe care le-ar controla sau pe care le-ar putea influența. </w:t>
      </w:r>
      <w:r w:rsidRPr="00D30136">
        <w:rPr>
          <w:rFonts w:asciiTheme="minorHAnsi" w:hAnsiTheme="minorHAnsi" w:cstheme="minorHAnsi"/>
          <w:i/>
          <w:sz w:val="26"/>
          <w:szCs w:val="26"/>
          <w:lang w:val="ro-RO"/>
        </w:rPr>
        <w:t xml:space="preserve">Back </w:t>
      </w:r>
      <w:proofErr w:type="spellStart"/>
      <w:r w:rsidRPr="00D30136">
        <w:rPr>
          <w:rFonts w:asciiTheme="minorHAnsi" w:hAnsiTheme="minorHAnsi" w:cstheme="minorHAnsi"/>
          <w:i/>
          <w:sz w:val="26"/>
          <w:szCs w:val="26"/>
          <w:lang w:val="ro-RO"/>
        </w:rPr>
        <w:t>to</w:t>
      </w:r>
      <w:proofErr w:type="spellEnd"/>
      <w:r w:rsidRPr="00D30136">
        <w:rPr>
          <w:rFonts w:asciiTheme="minorHAnsi" w:hAnsiTheme="minorHAnsi" w:cstheme="minorHAnsi"/>
          <w:i/>
          <w:sz w:val="26"/>
          <w:szCs w:val="26"/>
          <w:lang w:val="ro-RO"/>
        </w:rPr>
        <w:t xml:space="preserve"> </w:t>
      </w:r>
      <w:proofErr w:type="spellStart"/>
      <w:r w:rsidRPr="00D30136">
        <w:rPr>
          <w:rFonts w:asciiTheme="minorHAnsi" w:hAnsiTheme="minorHAnsi" w:cstheme="minorHAnsi"/>
          <w:i/>
          <w:sz w:val="26"/>
          <w:szCs w:val="26"/>
          <w:lang w:val="ro-RO"/>
        </w:rPr>
        <w:t>School</w:t>
      </w:r>
      <w:proofErr w:type="spellEnd"/>
      <w:r w:rsidRPr="00D30136">
        <w:rPr>
          <w:rFonts w:asciiTheme="minorHAnsi" w:hAnsiTheme="minorHAnsi" w:cstheme="minorHAnsi"/>
          <w:sz w:val="26"/>
          <w:szCs w:val="26"/>
          <w:lang w:val="ro-RO"/>
        </w:rPr>
        <w:t xml:space="preserve"> deducea din aceasta că Autoritatea ar fi trebuit să se îndrepte direct împotriva </w:t>
      </w:r>
      <w:proofErr w:type="spellStart"/>
      <w:r w:rsidRPr="00D30136">
        <w:rPr>
          <w:rFonts w:asciiTheme="minorHAnsi" w:hAnsiTheme="minorHAnsi" w:cstheme="minorHAnsi"/>
          <w:sz w:val="26"/>
          <w:szCs w:val="26"/>
          <w:lang w:val="ro-RO"/>
        </w:rPr>
        <w:t>Facebook</w:t>
      </w:r>
      <w:proofErr w:type="spellEnd"/>
      <w:r w:rsidRPr="00D30136">
        <w:rPr>
          <w:rFonts w:asciiTheme="minorHAnsi" w:hAnsiTheme="minorHAnsi" w:cstheme="minorHAnsi"/>
          <w:sz w:val="26"/>
          <w:szCs w:val="26"/>
          <w:lang w:val="ro-RO"/>
        </w:rPr>
        <w:t xml:space="preserve"> și nu împotriva sa.</w:t>
      </w: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r w:rsidRPr="00D30136">
        <w:rPr>
          <w:rFonts w:asciiTheme="minorHAnsi" w:hAnsiTheme="minorHAnsi" w:cstheme="minorHAnsi"/>
          <w:sz w:val="26"/>
          <w:szCs w:val="26"/>
          <w:lang w:val="ro-RO"/>
        </w:rPr>
        <w:t>Având în vedere aplicarea Regulamentului (UE) 2016/679 referitor la protecția persoanelor fizice în ceea ce privește prelucrarea datelor cu caracter personal și libera circulație a acestor date, în special art.1, 2, 17, 24 și 28, precum și jurisprudența recentă a CJUE întemeiată pe Directiva 95/46/CE, prezentați un raționament juridic referitor la următoarele aspecte:</w:t>
      </w:r>
    </w:p>
    <w:p w:rsidR="00D30136" w:rsidRPr="00D30136" w:rsidRDefault="00D30136" w:rsidP="00D30136">
      <w:pPr>
        <w:spacing w:after="0" w:line="240" w:lineRule="auto"/>
        <w:ind w:firstLine="720"/>
        <w:jc w:val="both"/>
        <w:rPr>
          <w:rFonts w:asciiTheme="minorHAnsi" w:hAnsiTheme="minorHAnsi" w:cstheme="minorHAnsi"/>
          <w:b/>
          <w:i/>
          <w:sz w:val="26"/>
          <w:szCs w:val="26"/>
          <w:u w:val="single"/>
          <w:lang w:val="ro-RO"/>
        </w:rPr>
      </w:pPr>
      <w:r w:rsidRPr="00D30136">
        <w:rPr>
          <w:rFonts w:asciiTheme="minorHAnsi" w:hAnsiTheme="minorHAnsi" w:cstheme="minorHAnsi"/>
          <w:b/>
          <w:i/>
          <w:sz w:val="26"/>
          <w:szCs w:val="26"/>
          <w:u w:val="single"/>
          <w:lang w:val="ro-RO"/>
        </w:rPr>
        <w:t>Lucrarea profesională nr. 1:</w:t>
      </w:r>
    </w:p>
    <w:p w:rsidR="00D30136" w:rsidRPr="00D30136" w:rsidRDefault="00D30136" w:rsidP="00D30136">
      <w:pPr>
        <w:spacing w:after="0" w:line="240" w:lineRule="auto"/>
        <w:ind w:firstLine="720"/>
        <w:jc w:val="both"/>
        <w:rPr>
          <w:rFonts w:asciiTheme="minorHAnsi" w:hAnsiTheme="minorHAnsi" w:cstheme="minorHAnsi"/>
          <w:bCs/>
          <w:i/>
          <w:sz w:val="26"/>
          <w:szCs w:val="26"/>
          <w:lang w:val="ro-RO"/>
        </w:rPr>
      </w:pPr>
      <w:r w:rsidRPr="00D30136">
        <w:rPr>
          <w:rFonts w:asciiTheme="minorHAnsi" w:hAnsiTheme="minorHAnsi" w:cstheme="minorHAnsi"/>
          <w:i/>
          <w:sz w:val="26"/>
          <w:szCs w:val="26"/>
          <w:lang w:val="ro-RO"/>
        </w:rPr>
        <w:t xml:space="preserve">Societatea Back </w:t>
      </w:r>
      <w:proofErr w:type="spellStart"/>
      <w:r w:rsidRPr="00D30136">
        <w:rPr>
          <w:rFonts w:asciiTheme="minorHAnsi" w:hAnsiTheme="minorHAnsi" w:cstheme="minorHAnsi"/>
          <w:i/>
          <w:sz w:val="26"/>
          <w:szCs w:val="26"/>
          <w:lang w:val="ro-RO"/>
        </w:rPr>
        <w:t>to</w:t>
      </w:r>
      <w:proofErr w:type="spellEnd"/>
      <w:r w:rsidRPr="00D30136">
        <w:rPr>
          <w:rFonts w:asciiTheme="minorHAnsi" w:hAnsiTheme="minorHAnsi" w:cstheme="minorHAnsi"/>
          <w:i/>
          <w:sz w:val="26"/>
          <w:szCs w:val="26"/>
          <w:lang w:val="ro-RO"/>
        </w:rPr>
        <w:t xml:space="preserve"> </w:t>
      </w:r>
      <w:proofErr w:type="spellStart"/>
      <w:r w:rsidRPr="00D30136">
        <w:rPr>
          <w:rFonts w:asciiTheme="minorHAnsi" w:hAnsiTheme="minorHAnsi" w:cstheme="minorHAnsi"/>
          <w:i/>
          <w:sz w:val="26"/>
          <w:szCs w:val="26"/>
          <w:lang w:val="ro-RO"/>
        </w:rPr>
        <w:t>School</w:t>
      </w:r>
      <w:proofErr w:type="spellEnd"/>
      <w:r w:rsidRPr="00D30136">
        <w:rPr>
          <w:rFonts w:asciiTheme="minorHAnsi" w:hAnsiTheme="minorHAnsi" w:cstheme="minorHAnsi"/>
          <w:i/>
          <w:sz w:val="26"/>
          <w:szCs w:val="26"/>
          <w:lang w:val="ro-RO"/>
        </w:rPr>
        <w:t xml:space="preserve"> poate fi trasă la răspundere, în calitatea sa de administrator al unei pagini pentru fani găzduite pe o rețea socială, în cazul unei atingeri aduse normelor privitoare la protecția datelor cu caracter personal, ca urmare a alegerii de a recurge la această rețea socială pentru a difuza oferta sa de informații?</w:t>
      </w:r>
      <w:r w:rsidRPr="00D30136">
        <w:rPr>
          <w:rFonts w:asciiTheme="minorHAnsi" w:hAnsiTheme="minorHAnsi" w:cstheme="minorHAnsi"/>
          <w:sz w:val="26"/>
          <w:szCs w:val="26"/>
          <w:lang w:val="ro-RO"/>
        </w:rPr>
        <w:t xml:space="preserve"> </w:t>
      </w:r>
      <w:r w:rsidRPr="00D30136">
        <w:rPr>
          <w:rFonts w:asciiTheme="minorHAnsi" w:hAnsiTheme="minorHAnsi" w:cstheme="minorHAnsi"/>
          <w:bCs/>
          <w:i/>
          <w:sz w:val="26"/>
          <w:szCs w:val="26"/>
          <w:lang w:val="ro-RO"/>
        </w:rPr>
        <w:t>Prezentaţi un raţionament argumentat, pe baza jurisprudenţei Curţii de Justiţie a Uniunii Europene, a legislației UE și a doctrinei de specialitate.</w:t>
      </w:r>
    </w:p>
    <w:p w:rsidR="00D30136" w:rsidRPr="00D30136" w:rsidRDefault="00D30136" w:rsidP="00D30136">
      <w:pPr>
        <w:spacing w:after="0" w:line="240" w:lineRule="auto"/>
        <w:ind w:firstLine="720"/>
        <w:jc w:val="both"/>
        <w:rPr>
          <w:rFonts w:asciiTheme="minorHAnsi" w:hAnsiTheme="minorHAnsi" w:cstheme="minorHAnsi"/>
          <w:b/>
          <w:i/>
          <w:sz w:val="26"/>
          <w:szCs w:val="26"/>
          <w:u w:val="single"/>
          <w:lang w:val="ro-RO"/>
        </w:rPr>
      </w:pPr>
      <w:r w:rsidRPr="00D30136">
        <w:rPr>
          <w:rFonts w:asciiTheme="minorHAnsi" w:hAnsiTheme="minorHAnsi" w:cstheme="minorHAnsi"/>
          <w:b/>
          <w:i/>
          <w:sz w:val="26"/>
          <w:szCs w:val="26"/>
          <w:u w:val="single"/>
          <w:lang w:val="ro-RO"/>
        </w:rPr>
        <w:lastRenderedPageBreak/>
        <w:t xml:space="preserve">Lucrarea profesională nr. </w:t>
      </w:r>
      <w:r w:rsidRPr="00D30136">
        <w:rPr>
          <w:rFonts w:asciiTheme="minorHAnsi" w:hAnsiTheme="minorHAnsi" w:cstheme="minorHAnsi"/>
          <w:b/>
          <w:i/>
          <w:sz w:val="26"/>
          <w:szCs w:val="26"/>
          <w:u w:val="single"/>
          <w:lang w:val="ro-RO"/>
        </w:rPr>
        <w:t>2</w:t>
      </w:r>
      <w:r w:rsidRPr="00D30136">
        <w:rPr>
          <w:rFonts w:asciiTheme="minorHAnsi" w:hAnsiTheme="minorHAnsi" w:cstheme="minorHAnsi"/>
          <w:b/>
          <w:i/>
          <w:sz w:val="26"/>
          <w:szCs w:val="26"/>
          <w:u w:val="single"/>
          <w:lang w:val="ro-RO"/>
        </w:rPr>
        <w:t>:</w:t>
      </w:r>
    </w:p>
    <w:p w:rsidR="00D30136" w:rsidRPr="00D30136" w:rsidRDefault="00D30136" w:rsidP="00D30136">
      <w:pPr>
        <w:spacing w:after="0" w:line="240" w:lineRule="auto"/>
        <w:ind w:firstLine="720"/>
        <w:jc w:val="both"/>
        <w:rPr>
          <w:rFonts w:asciiTheme="minorHAnsi" w:hAnsiTheme="minorHAnsi" w:cstheme="minorHAnsi"/>
          <w:bCs/>
          <w:i/>
          <w:sz w:val="26"/>
          <w:szCs w:val="26"/>
          <w:lang w:val="ro-RO"/>
        </w:rPr>
      </w:pPr>
      <w:r w:rsidRPr="00D30136">
        <w:rPr>
          <w:rFonts w:asciiTheme="minorHAnsi" w:hAnsiTheme="minorHAnsi" w:cstheme="minorHAnsi"/>
          <w:bCs/>
          <w:i/>
          <w:sz w:val="26"/>
          <w:szCs w:val="26"/>
          <w:lang w:val="ro-RO"/>
        </w:rPr>
        <w:t xml:space="preserve"> Există posibilitatea formulării unei acțiuni în  interpretare în fața instanței de la Luxemburg? Argumentați răspunsul.</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
          <w:bCs/>
          <w:sz w:val="26"/>
          <w:szCs w:val="26"/>
          <w:lang w:val="ro-RO"/>
        </w:rPr>
        <w:t>Precizări</w:t>
      </w:r>
      <w:r w:rsidRPr="00D30136">
        <w:rPr>
          <w:rFonts w:asciiTheme="minorHAnsi" w:hAnsiTheme="minorHAnsi" w:cstheme="minorHAnsi"/>
          <w:bCs/>
          <w:sz w:val="26"/>
          <w:szCs w:val="26"/>
          <w:lang w:val="ro-RO"/>
        </w:rPr>
        <w:t>:</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La aprecierea răspunsului vor fi avute în vedere următoarele:</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sistematizarea motivării juridice;</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temeiul juridic;</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identificarea jurisprudenţei relevante pentru domeniu;</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identificarea şi folosirea corectă a principiilor jurisprudenţei Curţii de Justiţie a Uniunii Europene;</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limbajul juridic;</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logica şi pertinenţa argumentării;</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xml:space="preserve">- nota de personalitate (în acest sens, răspunsul poate fi nuanțat, în funcție de interpretarea dată situației de fapt) și </w:t>
      </w:r>
    </w:p>
    <w:p w:rsidR="00D30136" w:rsidRPr="00D30136" w:rsidRDefault="00D30136" w:rsidP="00D30136">
      <w:pPr>
        <w:pStyle w:val="c02alineaalta"/>
        <w:shd w:val="clear" w:color="auto" w:fill="FFFFFF"/>
        <w:spacing w:before="0" w:beforeAutospacing="0" w:after="0" w:afterAutospacing="0"/>
        <w:ind w:firstLine="720"/>
        <w:jc w:val="both"/>
        <w:rPr>
          <w:rFonts w:asciiTheme="minorHAnsi" w:hAnsiTheme="minorHAnsi" w:cstheme="minorHAnsi"/>
          <w:sz w:val="26"/>
          <w:szCs w:val="26"/>
        </w:rPr>
      </w:pPr>
      <w:r w:rsidRPr="00D30136">
        <w:rPr>
          <w:rFonts w:asciiTheme="minorHAnsi" w:hAnsiTheme="minorHAnsi" w:cstheme="minorHAnsi"/>
          <w:bCs/>
          <w:sz w:val="26"/>
          <w:szCs w:val="26"/>
        </w:rPr>
        <w:t>- indicarea corectă a legislaţiei, a jurisprudenţei și a doctrinei folosite.</w:t>
      </w:r>
    </w:p>
    <w:p w:rsidR="00D30136" w:rsidRPr="00D30136" w:rsidRDefault="00D30136" w:rsidP="00D30136">
      <w:pPr>
        <w:pStyle w:val="c02alineaalta"/>
        <w:shd w:val="clear" w:color="auto" w:fill="FFFFFF"/>
        <w:spacing w:before="0" w:beforeAutospacing="0" w:after="0" w:afterAutospacing="0"/>
        <w:ind w:firstLine="720"/>
        <w:jc w:val="both"/>
        <w:rPr>
          <w:rFonts w:asciiTheme="minorHAnsi" w:hAnsiTheme="minorHAnsi" w:cstheme="minorHAnsi"/>
          <w:sz w:val="26"/>
          <w:szCs w:val="26"/>
        </w:rPr>
      </w:pPr>
    </w:p>
    <w:p w:rsidR="00016607" w:rsidRPr="00D30136" w:rsidRDefault="00016607" w:rsidP="00D30136">
      <w:pPr>
        <w:pStyle w:val="ListParagraph"/>
        <w:spacing w:after="0" w:line="240" w:lineRule="auto"/>
        <w:ind w:left="0" w:firstLine="720"/>
        <w:jc w:val="both"/>
        <w:rPr>
          <w:rFonts w:asciiTheme="minorHAnsi" w:hAnsiTheme="minorHAnsi" w:cstheme="minorHAnsi"/>
          <w:sz w:val="26"/>
          <w:szCs w:val="26"/>
          <w:lang w:val="ro-RO"/>
        </w:rPr>
      </w:pPr>
    </w:p>
    <w:p w:rsidR="00D30136" w:rsidRPr="00D30136" w:rsidRDefault="00D30136" w:rsidP="00D30136">
      <w:pPr>
        <w:pStyle w:val="ListParagraph"/>
        <w:spacing w:after="0" w:line="240" w:lineRule="auto"/>
        <w:ind w:left="0" w:firstLine="720"/>
        <w:jc w:val="both"/>
        <w:rPr>
          <w:rFonts w:asciiTheme="minorHAnsi" w:hAnsiTheme="minorHAnsi" w:cstheme="minorHAnsi"/>
          <w:sz w:val="26"/>
          <w:szCs w:val="26"/>
          <w:lang w:val="ro-RO"/>
        </w:rPr>
      </w:pPr>
    </w:p>
    <w:p w:rsidR="00D30136" w:rsidRPr="00D30136" w:rsidRDefault="00D30136" w:rsidP="00D30136">
      <w:pPr>
        <w:spacing w:after="0"/>
        <w:jc w:val="both"/>
        <w:rPr>
          <w:rFonts w:asciiTheme="minorHAnsi" w:hAnsiTheme="minorHAnsi" w:cstheme="minorHAnsi"/>
          <w:b/>
          <w:i/>
          <w:sz w:val="26"/>
          <w:szCs w:val="26"/>
          <w:u w:val="single"/>
          <w:lang w:val="ro-RO"/>
        </w:rPr>
      </w:pPr>
      <w:r w:rsidRPr="00D30136">
        <w:rPr>
          <w:rFonts w:asciiTheme="minorHAnsi" w:hAnsiTheme="minorHAnsi" w:cstheme="minorHAnsi"/>
          <w:b/>
          <w:i/>
          <w:sz w:val="26"/>
          <w:szCs w:val="26"/>
          <w:u w:val="single"/>
          <w:lang w:val="ro-RO"/>
        </w:rPr>
        <w:t>Speţa 2</w:t>
      </w:r>
    </w:p>
    <w:p w:rsidR="00D30136" w:rsidRPr="00D30136" w:rsidRDefault="00D30136" w:rsidP="00D30136">
      <w:pPr>
        <w:pStyle w:val="ListParagraph"/>
        <w:spacing w:after="0" w:line="240" w:lineRule="auto"/>
        <w:ind w:left="0" w:firstLine="720"/>
        <w:jc w:val="both"/>
        <w:rPr>
          <w:rFonts w:asciiTheme="minorHAnsi" w:hAnsiTheme="minorHAnsi" w:cstheme="minorHAnsi"/>
          <w:sz w:val="26"/>
          <w:szCs w:val="26"/>
          <w:lang w:val="ro-RO"/>
        </w:rPr>
      </w:pP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 xml:space="preserve">Domnul K, cetățean croat și al statului Bosnia-Herțegovina, se deplasează în Olanda împreună cu soția și fiul minor, în ianuarie 2001. În anul 2006, soția domnului K a dat naștere celui de al doilea fiu al lor. </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În februarie 2001, dl. K a solicitat autorității competente din Olanda eliberarea unui permis de ședere temporară în calitate de solicitant de azil, cerere care i-a fost respinsă în mai 2003.</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În iulie 2011, dl. K a introdus o nouă cerere de azil care, din nou, a fost respinsă în ianuarie 2013. Această decizie era, însă, însoțită de o interdicție de intrare pe teritoriul Olandei pentru o durată de zece ani.</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După aderarea Republicii Croația la Uniunea Europeană, dl. K a solicitat instanței competente, în octombrie 2014, ridicarea interdicției de intrare pe teritoriul Olandei emise în privința sa. În iulie 2015, cererea a fost admisă, dar autoritatea competentă l-a declarat pe dl. K indezirabil pe teritoriul Olandei, în temeiul prevederilor din Legea olandeză privind regimul străinilor. Reclamația formulată de dl. K împotriva acestei decizii a fost respinsă în decembrie 2015.</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Motivele de respingere au fost:</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 deciziile din mai 2003 și din ianuarie 2013 de respingere a cererilor de azil introduse de dl.  K, prin care s</w:t>
      </w:r>
      <w:r w:rsidRPr="00D30136">
        <w:rPr>
          <w:rFonts w:asciiTheme="minorHAnsi" w:hAnsiTheme="minorHAnsi" w:cstheme="minorHAnsi"/>
          <w:sz w:val="26"/>
          <w:szCs w:val="26"/>
        </w:rPr>
        <w:noBreakHyphen/>
        <w:t xml:space="preserve">a constatat că acesta din urmă se făcea vinovat de conduite care intrau sub incidența articolului 1 secțiunea F litera (a) din Convenția de la Geneva, prin aceea că a avut </w:t>
      </w:r>
      <w:r w:rsidRPr="00D30136">
        <w:rPr>
          <w:rFonts w:asciiTheme="minorHAnsi" w:hAnsiTheme="minorHAnsi" w:cstheme="minorHAnsi"/>
          <w:sz w:val="26"/>
          <w:szCs w:val="26"/>
        </w:rPr>
        <w:lastRenderedPageBreak/>
        <w:t>cunoștință de crime de război și de crime împotriva umanității comise de unitățile speciale ale armatei bosniace și că a participat personal la săvârșirea acestor infracțiuni;</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 prezența lui dl.  K pe teritoriul Olandei era de natură să aducă atingere relațiilor internaționale ale acestui stat, astfel încât trebuia să se evite ca acest stat membru să devină gazdă pentru persoane cu privire la care există motive serioase să se presupună că se făceau vinovate de săvârșirea unor fapte grave;</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 protecția ordinii publice și a siguranței publice impunea să fie efectuate toate demersurile necesare pentru a împiedica cetățenii olandezi să intre în contact cu persoane care, în statul lor de origine, se făceau vinovate de conduite grave care intrau sub incidența articolului 1 secțiunea F litera (a) din Convenția de la Geneva;</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 xml:space="preserve">- era imperios necesar să se evite ca victime care au suferit ca urmare a unor acte imputate lui dl. K sau membri ai familiilor acestora să se afle în prezența sa în Olanda. </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Pe baza tuturor acestor elemente, autoritatea competentă a concluzionat, pe de o parte, că dl. K reprezintă o amenințare reală, prezentă și suficient de gravă la adresa unui interes fundamental al vieții sociale în Olanda și, pe de altă parte, că declararea ca indezirabil a dlui. K nu aduce atingere dreptului respectarea vieții private și de familie.</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Domnul K. a introdus o acțiune împotriva deciziei din decembrie 2015 la instanța competentă. Acesta a arătat că:</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 motivele invocate de autoritatea competentă pentru a-și justifica decizia erau insuficiente;</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 relațiile internaționale ale unui stat membru nu intră sub incidența noțiunii de ordine publică;</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  la baza caracterului actual al amenințării pe care ar reprezenta</w:t>
      </w:r>
      <w:r w:rsidRPr="00D30136">
        <w:rPr>
          <w:rFonts w:asciiTheme="minorHAnsi" w:hAnsiTheme="minorHAnsi" w:cstheme="minorHAnsi"/>
          <w:sz w:val="26"/>
          <w:szCs w:val="26"/>
        </w:rPr>
        <w:noBreakHyphen/>
        <w:t>o dl. K, se află prezumția privind conduita de care s</w:t>
      </w:r>
      <w:r w:rsidRPr="00D30136">
        <w:rPr>
          <w:rFonts w:asciiTheme="minorHAnsi" w:hAnsiTheme="minorHAnsi" w:cstheme="minorHAnsi"/>
          <w:sz w:val="26"/>
          <w:szCs w:val="26"/>
        </w:rPr>
        <w:noBreakHyphen/>
        <w:t>ar fi făcut vinovat în trecut;</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 considerând că orice eventual contact în Olanda între dl. K și o victimă determină în sine un risc pentru ordinea publică, extinde în mod excesiv noțiunea de „ordine publică”;</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 nu s</w:t>
      </w:r>
      <w:r w:rsidRPr="00D30136">
        <w:rPr>
          <w:rFonts w:asciiTheme="minorHAnsi" w:hAnsiTheme="minorHAnsi" w:cstheme="minorHAnsi"/>
          <w:sz w:val="26"/>
          <w:szCs w:val="26"/>
        </w:rPr>
        <w:noBreakHyphen/>
        <w:t>a demonstrat că eventualele victime ale lui dlui. K s</w:t>
      </w:r>
      <w:r w:rsidRPr="00D30136">
        <w:rPr>
          <w:rFonts w:asciiTheme="minorHAnsi" w:hAnsiTheme="minorHAnsi" w:cstheme="minorHAnsi"/>
          <w:sz w:val="26"/>
          <w:szCs w:val="26"/>
        </w:rPr>
        <w:noBreakHyphen/>
        <w:t xml:space="preserve">ar afla pe teritoriul olandez. </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Mai mult, dl. K a adăugat că nu a fost niciodată urmărit penal și nici condamnat pentru faptele care îi erau imputate. Acesta a concluzionat că motivul invocat în decizia de respingere, întemeiat pe faptul că reprezenta o amenințare pentru ordinea publică, este incompatibil cu dreptul Uniunii.</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p>
    <w:p w:rsidR="00D30136" w:rsidRPr="00D30136" w:rsidRDefault="00D30136" w:rsidP="00D30136">
      <w:pPr>
        <w:pStyle w:val="ListParagraph"/>
        <w:spacing w:after="0" w:line="240" w:lineRule="auto"/>
        <w:ind w:left="0" w:firstLine="720"/>
        <w:jc w:val="both"/>
        <w:rPr>
          <w:rFonts w:asciiTheme="minorHAnsi" w:hAnsiTheme="minorHAnsi" w:cstheme="minorHAnsi"/>
          <w:b/>
          <w:sz w:val="26"/>
          <w:szCs w:val="26"/>
          <w:lang w:val="ro-RO"/>
        </w:rPr>
      </w:pPr>
      <w:r w:rsidRPr="00D30136">
        <w:rPr>
          <w:rFonts w:asciiTheme="minorHAnsi" w:hAnsiTheme="minorHAnsi" w:cstheme="minorHAnsi"/>
          <w:b/>
          <w:i/>
          <w:sz w:val="26"/>
          <w:szCs w:val="26"/>
          <w:u w:val="single"/>
          <w:lang w:val="ro-RO"/>
        </w:rPr>
        <w:t>Lucrarea profesională nr. 3:</w:t>
      </w:r>
    </w:p>
    <w:p w:rsidR="00D30136" w:rsidRPr="00D30136" w:rsidRDefault="00D30136" w:rsidP="00D30136">
      <w:pPr>
        <w:spacing w:after="0" w:line="240" w:lineRule="auto"/>
        <w:ind w:firstLine="720"/>
        <w:jc w:val="both"/>
        <w:rPr>
          <w:rFonts w:asciiTheme="minorHAnsi" w:hAnsiTheme="minorHAnsi" w:cstheme="minorHAnsi"/>
          <w:i/>
          <w:sz w:val="26"/>
          <w:szCs w:val="26"/>
          <w:lang w:val="ro-RO"/>
        </w:rPr>
      </w:pPr>
      <w:r w:rsidRPr="00D30136">
        <w:rPr>
          <w:rFonts w:asciiTheme="minorHAnsi" w:hAnsiTheme="minorHAnsi" w:cstheme="minorHAnsi"/>
          <w:i/>
          <w:sz w:val="26"/>
          <w:szCs w:val="26"/>
          <w:lang w:val="ro-RO"/>
        </w:rPr>
        <w:t>Având în vedere reperele</w:t>
      </w:r>
      <w:r w:rsidRPr="00D30136">
        <w:rPr>
          <w:rStyle w:val="FootnoteReference"/>
          <w:rFonts w:asciiTheme="minorHAnsi" w:hAnsiTheme="minorHAnsi" w:cstheme="minorHAnsi"/>
          <w:i/>
          <w:sz w:val="26"/>
          <w:szCs w:val="26"/>
          <w:lang w:val="ro-RO"/>
        </w:rPr>
        <w:footnoteReference w:id="1"/>
      </w:r>
      <w:r w:rsidRPr="00D30136">
        <w:rPr>
          <w:rFonts w:asciiTheme="minorHAnsi" w:hAnsiTheme="minorHAnsi" w:cstheme="minorHAnsi"/>
          <w:i/>
          <w:sz w:val="26"/>
          <w:szCs w:val="26"/>
          <w:lang w:val="ro-RO"/>
        </w:rPr>
        <w:t xml:space="preserve"> legislative, jurisprudențiale și o comunicare a Comisiei Europene, prezentate mai jos, redactați o opinie care să vină în sprijinul solicitării dlui. K.</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i/>
          <w:sz w:val="26"/>
          <w:szCs w:val="26"/>
        </w:rPr>
      </w:pP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r w:rsidRPr="00D30136">
        <w:rPr>
          <w:rFonts w:asciiTheme="minorHAnsi" w:hAnsiTheme="minorHAnsi" w:cstheme="minorHAnsi"/>
          <w:sz w:val="26"/>
          <w:szCs w:val="26"/>
        </w:rPr>
        <w:t>Repere:</w:t>
      </w: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r w:rsidRPr="00D30136">
        <w:rPr>
          <w:rFonts w:asciiTheme="minorHAnsi" w:hAnsiTheme="minorHAnsi" w:cstheme="minorHAnsi"/>
          <w:sz w:val="26"/>
          <w:szCs w:val="26"/>
          <w:lang w:val="ro-RO"/>
        </w:rPr>
        <w:t xml:space="preserve">- punctul 50 din Hotărârea din 11 iunie 2015, </w:t>
      </w:r>
      <w:proofErr w:type="spellStart"/>
      <w:r w:rsidRPr="00D30136">
        <w:rPr>
          <w:rFonts w:asciiTheme="minorHAnsi" w:hAnsiTheme="minorHAnsi" w:cstheme="minorHAnsi"/>
          <w:i/>
          <w:sz w:val="26"/>
          <w:szCs w:val="26"/>
          <w:lang w:val="ro-RO"/>
        </w:rPr>
        <w:t>Zh</w:t>
      </w:r>
      <w:proofErr w:type="spellEnd"/>
      <w:r w:rsidRPr="00D30136">
        <w:rPr>
          <w:rFonts w:asciiTheme="minorHAnsi" w:hAnsiTheme="minorHAnsi" w:cstheme="minorHAnsi"/>
          <w:i/>
          <w:sz w:val="26"/>
          <w:szCs w:val="26"/>
          <w:lang w:val="ro-RO"/>
        </w:rPr>
        <w:t>. și O.</w:t>
      </w:r>
      <w:r w:rsidRPr="00D30136">
        <w:rPr>
          <w:rFonts w:asciiTheme="minorHAnsi" w:hAnsiTheme="minorHAnsi" w:cstheme="minorHAnsi"/>
          <w:sz w:val="26"/>
          <w:szCs w:val="26"/>
          <w:lang w:val="ro-RO"/>
        </w:rPr>
        <w:t xml:space="preserve"> (C</w:t>
      </w:r>
      <w:r w:rsidRPr="00D30136">
        <w:rPr>
          <w:rFonts w:asciiTheme="minorHAnsi" w:hAnsiTheme="minorHAnsi" w:cstheme="minorHAnsi"/>
          <w:sz w:val="26"/>
          <w:szCs w:val="26"/>
          <w:lang w:val="ro-RO"/>
        </w:rPr>
        <w:noBreakHyphen/>
        <w:t>554/13, EU:C:2015:377);</w:t>
      </w: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r w:rsidRPr="00D30136">
        <w:rPr>
          <w:rFonts w:asciiTheme="minorHAnsi" w:hAnsiTheme="minorHAnsi" w:cstheme="minorHAnsi"/>
          <w:sz w:val="26"/>
          <w:szCs w:val="26"/>
          <w:lang w:val="ro-RO"/>
        </w:rPr>
        <w:t>- articolului 27 alineatul (2),  28 alineatul (1), 28 alineatul (3) litera (a) din Directiva 2004/38;</w:t>
      </w: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r w:rsidRPr="00D30136">
        <w:rPr>
          <w:rFonts w:asciiTheme="minorHAnsi" w:hAnsiTheme="minorHAnsi" w:cstheme="minorHAnsi"/>
          <w:sz w:val="26"/>
          <w:szCs w:val="26"/>
          <w:lang w:val="ro-RO"/>
        </w:rPr>
        <w:lastRenderedPageBreak/>
        <w:t xml:space="preserve">- Hotărârea din 9 noiembrie 2010, </w:t>
      </w:r>
      <w:r w:rsidRPr="00D30136">
        <w:rPr>
          <w:rFonts w:asciiTheme="minorHAnsi" w:hAnsiTheme="minorHAnsi" w:cstheme="minorHAnsi"/>
          <w:i/>
          <w:sz w:val="26"/>
          <w:szCs w:val="26"/>
          <w:lang w:val="ro-RO"/>
        </w:rPr>
        <w:t>B și D</w:t>
      </w:r>
      <w:r w:rsidRPr="00D30136">
        <w:rPr>
          <w:rFonts w:asciiTheme="minorHAnsi" w:hAnsiTheme="minorHAnsi" w:cstheme="minorHAnsi"/>
          <w:sz w:val="26"/>
          <w:szCs w:val="26"/>
          <w:lang w:val="ro-RO"/>
        </w:rPr>
        <w:t xml:space="preserve"> (C</w:t>
      </w:r>
      <w:r w:rsidRPr="00D30136">
        <w:rPr>
          <w:rFonts w:asciiTheme="minorHAnsi" w:hAnsiTheme="minorHAnsi" w:cstheme="minorHAnsi"/>
          <w:sz w:val="26"/>
          <w:szCs w:val="26"/>
          <w:lang w:val="ro-RO"/>
        </w:rPr>
        <w:noBreakHyphen/>
        <w:t>57/09 și C</w:t>
      </w:r>
      <w:r w:rsidRPr="00D30136">
        <w:rPr>
          <w:rFonts w:asciiTheme="minorHAnsi" w:hAnsiTheme="minorHAnsi" w:cstheme="minorHAnsi"/>
          <w:sz w:val="26"/>
          <w:szCs w:val="26"/>
          <w:lang w:val="ro-RO"/>
        </w:rPr>
        <w:noBreakHyphen/>
        <w:t>101/09, EU:C:2010:661);</w:t>
      </w: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r w:rsidRPr="00D30136">
        <w:rPr>
          <w:rFonts w:asciiTheme="minorHAnsi" w:hAnsiTheme="minorHAnsi" w:cstheme="minorHAnsi"/>
          <w:sz w:val="26"/>
          <w:szCs w:val="26"/>
          <w:lang w:val="ro-RO"/>
        </w:rPr>
        <w:t xml:space="preserve">- Hotărârea din 23 noiembrie 2010, </w:t>
      </w:r>
      <w:proofErr w:type="spellStart"/>
      <w:r w:rsidRPr="00D30136">
        <w:rPr>
          <w:rFonts w:asciiTheme="minorHAnsi" w:hAnsiTheme="minorHAnsi" w:cstheme="minorHAnsi"/>
          <w:i/>
          <w:sz w:val="26"/>
          <w:szCs w:val="26"/>
          <w:lang w:val="ro-RO"/>
        </w:rPr>
        <w:t>Tsakouridis</w:t>
      </w:r>
      <w:proofErr w:type="spellEnd"/>
      <w:r w:rsidRPr="00D30136">
        <w:rPr>
          <w:rFonts w:asciiTheme="minorHAnsi" w:hAnsiTheme="minorHAnsi" w:cstheme="minorHAnsi"/>
          <w:sz w:val="26"/>
          <w:szCs w:val="26"/>
          <w:lang w:val="ro-RO"/>
        </w:rPr>
        <w:t xml:space="preserve"> (C</w:t>
      </w:r>
      <w:r w:rsidRPr="00D30136">
        <w:rPr>
          <w:rFonts w:asciiTheme="minorHAnsi" w:hAnsiTheme="minorHAnsi" w:cstheme="minorHAnsi"/>
          <w:sz w:val="26"/>
          <w:szCs w:val="26"/>
          <w:lang w:val="ro-RO"/>
        </w:rPr>
        <w:noBreakHyphen/>
        <w:t>145/09, EU:C:2010:708);</w:t>
      </w: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r w:rsidRPr="00D30136">
        <w:rPr>
          <w:rFonts w:asciiTheme="minorHAnsi" w:hAnsiTheme="minorHAnsi" w:cstheme="minorHAnsi"/>
          <w:sz w:val="26"/>
          <w:szCs w:val="26"/>
          <w:lang w:val="ro-RO"/>
        </w:rPr>
        <w:t xml:space="preserve">- Hotărârea din 22 mai 2012, </w:t>
      </w:r>
      <w:r w:rsidRPr="00D30136">
        <w:rPr>
          <w:rFonts w:asciiTheme="minorHAnsi" w:hAnsiTheme="minorHAnsi" w:cstheme="minorHAnsi"/>
          <w:i/>
          <w:sz w:val="26"/>
          <w:szCs w:val="26"/>
          <w:lang w:val="ro-RO"/>
        </w:rPr>
        <w:t>I</w:t>
      </w:r>
      <w:r w:rsidRPr="00D30136">
        <w:rPr>
          <w:rFonts w:asciiTheme="minorHAnsi" w:hAnsiTheme="minorHAnsi" w:cstheme="minorHAnsi"/>
          <w:sz w:val="26"/>
          <w:szCs w:val="26"/>
          <w:lang w:val="ro-RO"/>
        </w:rPr>
        <w:t xml:space="preserve"> (C</w:t>
      </w:r>
      <w:r w:rsidRPr="00D30136">
        <w:rPr>
          <w:rFonts w:asciiTheme="minorHAnsi" w:hAnsiTheme="minorHAnsi" w:cstheme="minorHAnsi"/>
          <w:sz w:val="26"/>
          <w:szCs w:val="26"/>
          <w:lang w:val="ro-RO"/>
        </w:rPr>
        <w:noBreakHyphen/>
        <w:t>348/09, EU:C:2012:300);</w:t>
      </w: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r w:rsidRPr="00D30136">
        <w:rPr>
          <w:rFonts w:asciiTheme="minorHAnsi" w:hAnsiTheme="minorHAnsi" w:cstheme="minorHAnsi"/>
          <w:sz w:val="26"/>
          <w:szCs w:val="26"/>
          <w:lang w:val="ro-RO"/>
        </w:rPr>
        <w:t>- Comunicarea din 2 iulie 2009 a Comisiei către Parlamentul european și Consiliu privind orientări pentru o mai bună transpunere și aplicare a Directivei 2004/38 [COM(2009) 313 final].</w:t>
      </w: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p>
    <w:p w:rsidR="00D30136" w:rsidRPr="00D30136" w:rsidRDefault="00D30136" w:rsidP="00D30136">
      <w:pPr>
        <w:spacing w:after="0" w:line="240" w:lineRule="auto"/>
        <w:ind w:firstLine="720"/>
        <w:jc w:val="both"/>
        <w:rPr>
          <w:rFonts w:asciiTheme="minorHAnsi" w:hAnsiTheme="minorHAnsi" w:cstheme="minorHAnsi"/>
          <w:sz w:val="26"/>
          <w:szCs w:val="26"/>
          <w:lang w:val="ro-RO"/>
        </w:rPr>
      </w:pP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
          <w:bCs/>
          <w:sz w:val="26"/>
          <w:szCs w:val="26"/>
          <w:lang w:val="ro-RO"/>
        </w:rPr>
        <w:t>Precizări</w:t>
      </w:r>
      <w:r w:rsidRPr="00D30136">
        <w:rPr>
          <w:rFonts w:asciiTheme="minorHAnsi" w:hAnsiTheme="minorHAnsi" w:cstheme="minorHAnsi"/>
          <w:bCs/>
          <w:sz w:val="26"/>
          <w:szCs w:val="26"/>
          <w:lang w:val="ro-RO"/>
        </w:rPr>
        <w:t>:</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La aprecierea răspunsului vor fi avute în vedere următoarele:</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sistematizarea motivării juridice;</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temeiul juridic;</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identificarea jurisprudenţei relevante pentru domeniu;</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identificarea şi folosirea corectă a principiilor jurisprudenţei Curţii de Justiţie a Uniunii Europene;</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limbajul juridic;</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logica şi pertinenţa argumentării;</w:t>
      </w:r>
    </w:p>
    <w:p w:rsidR="00D30136" w:rsidRPr="00D30136" w:rsidRDefault="00D30136" w:rsidP="00D30136">
      <w:pPr>
        <w:spacing w:after="0" w:line="240" w:lineRule="auto"/>
        <w:ind w:firstLine="720"/>
        <w:jc w:val="both"/>
        <w:rPr>
          <w:rFonts w:asciiTheme="minorHAnsi" w:hAnsiTheme="minorHAnsi" w:cstheme="minorHAnsi"/>
          <w:bCs/>
          <w:sz w:val="26"/>
          <w:szCs w:val="26"/>
          <w:lang w:val="ro-RO"/>
        </w:rPr>
      </w:pPr>
      <w:r w:rsidRPr="00D30136">
        <w:rPr>
          <w:rFonts w:asciiTheme="minorHAnsi" w:hAnsiTheme="minorHAnsi" w:cstheme="minorHAnsi"/>
          <w:bCs/>
          <w:sz w:val="26"/>
          <w:szCs w:val="26"/>
          <w:lang w:val="ro-RO"/>
        </w:rPr>
        <w:t xml:space="preserve">- nota de personalitate (în acest sens, răspunsul poate fi nuanțat, în funcție de interpretarea dată situației de fapt) și </w:t>
      </w:r>
    </w:p>
    <w:p w:rsidR="00D30136" w:rsidRPr="00D30136" w:rsidRDefault="00D30136" w:rsidP="00D30136">
      <w:pPr>
        <w:spacing w:after="0" w:line="240" w:lineRule="auto"/>
        <w:ind w:firstLine="720"/>
        <w:jc w:val="both"/>
        <w:rPr>
          <w:rFonts w:asciiTheme="minorHAnsi" w:hAnsiTheme="minorHAnsi" w:cstheme="minorHAnsi"/>
          <w:bCs/>
          <w:i/>
          <w:sz w:val="26"/>
          <w:szCs w:val="26"/>
          <w:lang w:val="ro-RO"/>
        </w:rPr>
      </w:pPr>
      <w:r w:rsidRPr="00D30136">
        <w:rPr>
          <w:rFonts w:asciiTheme="minorHAnsi" w:hAnsiTheme="minorHAnsi" w:cstheme="minorHAnsi"/>
          <w:bCs/>
          <w:sz w:val="26"/>
          <w:szCs w:val="26"/>
          <w:lang w:val="ro-RO"/>
        </w:rPr>
        <w:t>- indicarea corectă a legislaţiei, a jurisprudenţei și a doctrinei folosite.</w:t>
      </w: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p>
    <w:p w:rsidR="00D30136" w:rsidRPr="00D30136" w:rsidRDefault="00D30136" w:rsidP="00D30136">
      <w:pPr>
        <w:pStyle w:val="c01pointnumerotealtn"/>
        <w:shd w:val="clear" w:color="auto" w:fill="FFFFFF"/>
        <w:spacing w:before="0" w:beforeAutospacing="0" w:after="0"/>
        <w:ind w:left="0" w:firstLine="720"/>
        <w:rPr>
          <w:rFonts w:asciiTheme="minorHAnsi" w:hAnsiTheme="minorHAnsi" w:cstheme="minorHAnsi"/>
          <w:sz w:val="26"/>
          <w:szCs w:val="26"/>
        </w:rPr>
      </w:pPr>
    </w:p>
    <w:sectPr w:rsidR="00D30136" w:rsidRPr="00D30136" w:rsidSect="000E587B">
      <w:headerReference w:type="default" r:id="rId10"/>
      <w:footerReference w:type="default" r:id="rId11"/>
      <w:pgSz w:w="12240" w:h="15840"/>
      <w:pgMar w:top="720" w:right="90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10" w:rsidRDefault="005C4E10" w:rsidP="00B53E5C">
      <w:pPr>
        <w:spacing w:after="0" w:line="240" w:lineRule="auto"/>
      </w:pPr>
      <w:r>
        <w:separator/>
      </w:r>
    </w:p>
  </w:endnote>
  <w:endnote w:type="continuationSeparator" w:id="0">
    <w:p w:rsidR="005C4E10" w:rsidRDefault="005C4E10" w:rsidP="00B5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6F" w:rsidRDefault="001B566F">
    <w:pPr>
      <w:pStyle w:val="Footer"/>
      <w:jc w:val="right"/>
    </w:pPr>
    <w:proofErr w:type="spellStart"/>
    <w:r>
      <w:t>Pagina</w:t>
    </w:r>
    <w:proofErr w:type="spellEnd"/>
    <w:r>
      <w:t xml:space="preserve"> | </w:t>
    </w:r>
    <w:r>
      <w:fldChar w:fldCharType="begin"/>
    </w:r>
    <w:r>
      <w:instrText xml:space="preserve"> PAGE   \* MERGEFORMAT </w:instrText>
    </w:r>
    <w:r>
      <w:fldChar w:fldCharType="separate"/>
    </w:r>
    <w:r w:rsidR="00D30136">
      <w:rPr>
        <w:noProof/>
      </w:rPr>
      <w:t>1</w:t>
    </w:r>
    <w:r>
      <w:rPr>
        <w:noProof/>
      </w:rPr>
      <w:fldChar w:fldCharType="end"/>
    </w:r>
    <w:r>
      <w:t xml:space="preserve"> </w:t>
    </w:r>
  </w:p>
  <w:p w:rsidR="001B566F" w:rsidRDefault="001B5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10" w:rsidRDefault="005C4E10" w:rsidP="00B53E5C">
      <w:pPr>
        <w:spacing w:after="0" w:line="240" w:lineRule="auto"/>
      </w:pPr>
      <w:r>
        <w:separator/>
      </w:r>
    </w:p>
  </w:footnote>
  <w:footnote w:type="continuationSeparator" w:id="0">
    <w:p w:rsidR="005C4E10" w:rsidRDefault="005C4E10" w:rsidP="00B53E5C">
      <w:pPr>
        <w:spacing w:after="0" w:line="240" w:lineRule="auto"/>
      </w:pPr>
      <w:r>
        <w:continuationSeparator/>
      </w:r>
    </w:p>
  </w:footnote>
  <w:footnote w:id="1">
    <w:p w:rsidR="00D30136" w:rsidRPr="00D30136" w:rsidRDefault="00D30136" w:rsidP="00D30136">
      <w:pPr>
        <w:pStyle w:val="FootnoteText"/>
      </w:pPr>
      <w:r w:rsidRPr="00D30136">
        <w:rPr>
          <w:rStyle w:val="FootnoteReference"/>
        </w:rPr>
        <w:footnoteRef/>
      </w:r>
      <w:r w:rsidRPr="00D30136">
        <w:t xml:space="preserve"> Reperele au caracter orientativ; pot fi adăugate și altele, inclusiv doctrina domeniului.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6F" w:rsidRDefault="001B566F">
    <w:pPr>
      <w:pStyle w:val="Header"/>
    </w:pPr>
  </w:p>
  <w:p w:rsidR="001B566F" w:rsidRDefault="001B5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256D"/>
    <w:multiLevelType w:val="hybridMultilevel"/>
    <w:tmpl w:val="046E45E0"/>
    <w:lvl w:ilvl="0" w:tplc="CC069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F792BBB"/>
    <w:multiLevelType w:val="hybridMultilevel"/>
    <w:tmpl w:val="8E1656BA"/>
    <w:lvl w:ilvl="0" w:tplc="3C782B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21F4A6D"/>
    <w:multiLevelType w:val="hybridMultilevel"/>
    <w:tmpl w:val="ED384354"/>
    <w:lvl w:ilvl="0" w:tplc="CEAC515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2BCB454A"/>
    <w:multiLevelType w:val="hybridMultilevel"/>
    <w:tmpl w:val="B3EE4898"/>
    <w:lvl w:ilvl="0" w:tplc="0BF6255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358312B6"/>
    <w:multiLevelType w:val="hybridMultilevel"/>
    <w:tmpl w:val="74D695EA"/>
    <w:lvl w:ilvl="0" w:tplc="6A280684">
      <w:start w:val="1"/>
      <w:numFmt w:val="bullet"/>
      <w:lvlText w:val="-"/>
      <w:lvlJc w:val="left"/>
      <w:pPr>
        <w:ind w:left="927" w:hanging="360"/>
      </w:pPr>
      <w:rPr>
        <w:rFonts w:ascii="Constantia" w:eastAsia="Times New Roman" w:hAnsi="Constantia"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3D812D6F"/>
    <w:multiLevelType w:val="hybridMultilevel"/>
    <w:tmpl w:val="0F56C452"/>
    <w:lvl w:ilvl="0" w:tplc="19A41D64">
      <w:start w:val="1"/>
      <w:numFmt w:val="decimal"/>
      <w:lvlText w:val="%1."/>
      <w:lvlJc w:val="left"/>
      <w:pPr>
        <w:ind w:left="1287" w:hanging="360"/>
      </w:pPr>
      <w:rPr>
        <w:b/>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nsid w:val="431B1B62"/>
    <w:multiLevelType w:val="hybridMultilevel"/>
    <w:tmpl w:val="AD4E3220"/>
    <w:lvl w:ilvl="0" w:tplc="4AC0FC0A">
      <w:start w:val="1"/>
      <w:numFmt w:val="decimal"/>
      <w:lvlText w:val="%1."/>
      <w:lvlJc w:val="left"/>
      <w:pPr>
        <w:ind w:left="1287" w:hanging="360"/>
      </w:pPr>
      <w:rPr>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4634727C"/>
    <w:multiLevelType w:val="hybridMultilevel"/>
    <w:tmpl w:val="CCEC1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A4ACD"/>
    <w:multiLevelType w:val="hybridMultilevel"/>
    <w:tmpl w:val="C308B02A"/>
    <w:lvl w:ilvl="0" w:tplc="0418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D63CFE"/>
    <w:multiLevelType w:val="hybridMultilevel"/>
    <w:tmpl w:val="4F6C3354"/>
    <w:lvl w:ilvl="0" w:tplc="0418001B">
      <w:start w:val="1"/>
      <w:numFmt w:val="lowerRoman"/>
      <w:lvlText w:val="%1."/>
      <w:lvlJc w:val="righ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5CA44A11"/>
    <w:multiLevelType w:val="hybridMultilevel"/>
    <w:tmpl w:val="585C185E"/>
    <w:lvl w:ilvl="0" w:tplc="0418001B">
      <w:start w:val="1"/>
      <w:numFmt w:val="lowerRoman"/>
      <w:lvlText w:val="%1."/>
      <w:lvlJc w:val="righ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5FD70FC9"/>
    <w:multiLevelType w:val="hybridMultilevel"/>
    <w:tmpl w:val="82325378"/>
    <w:lvl w:ilvl="0" w:tplc="30A219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8D7803"/>
    <w:multiLevelType w:val="hybridMultilevel"/>
    <w:tmpl w:val="35BA7E64"/>
    <w:lvl w:ilvl="0" w:tplc="04180015">
      <w:start w:val="1"/>
      <w:numFmt w:val="upperLetter"/>
      <w:lvlText w:val="%1."/>
      <w:lvlJc w:val="left"/>
      <w:pPr>
        <w:ind w:left="388" w:hanging="360"/>
      </w:pPr>
      <w:rPr>
        <w:rFonts w:hint="default"/>
      </w:rPr>
    </w:lvl>
    <w:lvl w:ilvl="1" w:tplc="04180003" w:tentative="1">
      <w:start w:val="1"/>
      <w:numFmt w:val="bullet"/>
      <w:lvlText w:val="o"/>
      <w:lvlJc w:val="left"/>
      <w:pPr>
        <w:ind w:left="1108" w:hanging="360"/>
      </w:pPr>
      <w:rPr>
        <w:rFonts w:ascii="Courier New" w:hAnsi="Courier New" w:cs="Courier New" w:hint="default"/>
      </w:rPr>
    </w:lvl>
    <w:lvl w:ilvl="2" w:tplc="04180005" w:tentative="1">
      <w:start w:val="1"/>
      <w:numFmt w:val="bullet"/>
      <w:lvlText w:val=""/>
      <w:lvlJc w:val="left"/>
      <w:pPr>
        <w:ind w:left="1828" w:hanging="360"/>
      </w:pPr>
      <w:rPr>
        <w:rFonts w:ascii="Wingdings" w:hAnsi="Wingdings" w:hint="default"/>
      </w:rPr>
    </w:lvl>
    <w:lvl w:ilvl="3" w:tplc="04180001" w:tentative="1">
      <w:start w:val="1"/>
      <w:numFmt w:val="bullet"/>
      <w:lvlText w:val=""/>
      <w:lvlJc w:val="left"/>
      <w:pPr>
        <w:ind w:left="2548" w:hanging="360"/>
      </w:pPr>
      <w:rPr>
        <w:rFonts w:ascii="Symbol" w:hAnsi="Symbol" w:hint="default"/>
      </w:rPr>
    </w:lvl>
    <w:lvl w:ilvl="4" w:tplc="04180003" w:tentative="1">
      <w:start w:val="1"/>
      <w:numFmt w:val="bullet"/>
      <w:lvlText w:val="o"/>
      <w:lvlJc w:val="left"/>
      <w:pPr>
        <w:ind w:left="3268" w:hanging="360"/>
      </w:pPr>
      <w:rPr>
        <w:rFonts w:ascii="Courier New" w:hAnsi="Courier New" w:cs="Courier New" w:hint="default"/>
      </w:rPr>
    </w:lvl>
    <w:lvl w:ilvl="5" w:tplc="04180005" w:tentative="1">
      <w:start w:val="1"/>
      <w:numFmt w:val="bullet"/>
      <w:lvlText w:val=""/>
      <w:lvlJc w:val="left"/>
      <w:pPr>
        <w:ind w:left="3988" w:hanging="360"/>
      </w:pPr>
      <w:rPr>
        <w:rFonts w:ascii="Wingdings" w:hAnsi="Wingdings" w:hint="default"/>
      </w:rPr>
    </w:lvl>
    <w:lvl w:ilvl="6" w:tplc="04180001" w:tentative="1">
      <w:start w:val="1"/>
      <w:numFmt w:val="bullet"/>
      <w:lvlText w:val=""/>
      <w:lvlJc w:val="left"/>
      <w:pPr>
        <w:ind w:left="4708" w:hanging="360"/>
      </w:pPr>
      <w:rPr>
        <w:rFonts w:ascii="Symbol" w:hAnsi="Symbol" w:hint="default"/>
      </w:rPr>
    </w:lvl>
    <w:lvl w:ilvl="7" w:tplc="04180003" w:tentative="1">
      <w:start w:val="1"/>
      <w:numFmt w:val="bullet"/>
      <w:lvlText w:val="o"/>
      <w:lvlJc w:val="left"/>
      <w:pPr>
        <w:ind w:left="5428" w:hanging="360"/>
      </w:pPr>
      <w:rPr>
        <w:rFonts w:ascii="Courier New" w:hAnsi="Courier New" w:cs="Courier New" w:hint="default"/>
      </w:rPr>
    </w:lvl>
    <w:lvl w:ilvl="8" w:tplc="04180005" w:tentative="1">
      <w:start w:val="1"/>
      <w:numFmt w:val="bullet"/>
      <w:lvlText w:val=""/>
      <w:lvlJc w:val="left"/>
      <w:pPr>
        <w:ind w:left="6148" w:hanging="360"/>
      </w:pPr>
      <w:rPr>
        <w:rFonts w:ascii="Wingdings" w:hAnsi="Wingdings" w:hint="default"/>
      </w:rPr>
    </w:lvl>
  </w:abstractNum>
  <w:abstractNum w:abstractNumId="13">
    <w:nsid w:val="6A922070"/>
    <w:multiLevelType w:val="hybridMultilevel"/>
    <w:tmpl w:val="1F08ECD8"/>
    <w:lvl w:ilvl="0" w:tplc="A724A678">
      <w:start w:val="1"/>
      <w:numFmt w:val="upperLetter"/>
      <w:lvlText w:val="%1."/>
      <w:lvlJc w:val="left"/>
      <w:pPr>
        <w:ind w:left="388" w:hanging="360"/>
      </w:pPr>
      <w:rPr>
        <w:rFonts w:hint="default"/>
        <w:b/>
      </w:rPr>
    </w:lvl>
    <w:lvl w:ilvl="1" w:tplc="04180003" w:tentative="1">
      <w:start w:val="1"/>
      <w:numFmt w:val="bullet"/>
      <w:lvlText w:val="o"/>
      <w:lvlJc w:val="left"/>
      <w:pPr>
        <w:ind w:left="1108" w:hanging="360"/>
      </w:pPr>
      <w:rPr>
        <w:rFonts w:ascii="Courier New" w:hAnsi="Courier New" w:cs="Courier New" w:hint="default"/>
      </w:rPr>
    </w:lvl>
    <w:lvl w:ilvl="2" w:tplc="04180005" w:tentative="1">
      <w:start w:val="1"/>
      <w:numFmt w:val="bullet"/>
      <w:lvlText w:val=""/>
      <w:lvlJc w:val="left"/>
      <w:pPr>
        <w:ind w:left="1828" w:hanging="360"/>
      </w:pPr>
      <w:rPr>
        <w:rFonts w:ascii="Wingdings" w:hAnsi="Wingdings" w:hint="default"/>
      </w:rPr>
    </w:lvl>
    <w:lvl w:ilvl="3" w:tplc="04180001" w:tentative="1">
      <w:start w:val="1"/>
      <w:numFmt w:val="bullet"/>
      <w:lvlText w:val=""/>
      <w:lvlJc w:val="left"/>
      <w:pPr>
        <w:ind w:left="2548" w:hanging="360"/>
      </w:pPr>
      <w:rPr>
        <w:rFonts w:ascii="Symbol" w:hAnsi="Symbol" w:hint="default"/>
      </w:rPr>
    </w:lvl>
    <w:lvl w:ilvl="4" w:tplc="04180003" w:tentative="1">
      <w:start w:val="1"/>
      <w:numFmt w:val="bullet"/>
      <w:lvlText w:val="o"/>
      <w:lvlJc w:val="left"/>
      <w:pPr>
        <w:ind w:left="3268" w:hanging="360"/>
      </w:pPr>
      <w:rPr>
        <w:rFonts w:ascii="Courier New" w:hAnsi="Courier New" w:cs="Courier New" w:hint="default"/>
      </w:rPr>
    </w:lvl>
    <w:lvl w:ilvl="5" w:tplc="04180005" w:tentative="1">
      <w:start w:val="1"/>
      <w:numFmt w:val="bullet"/>
      <w:lvlText w:val=""/>
      <w:lvlJc w:val="left"/>
      <w:pPr>
        <w:ind w:left="3988" w:hanging="360"/>
      </w:pPr>
      <w:rPr>
        <w:rFonts w:ascii="Wingdings" w:hAnsi="Wingdings" w:hint="default"/>
      </w:rPr>
    </w:lvl>
    <w:lvl w:ilvl="6" w:tplc="04180001" w:tentative="1">
      <w:start w:val="1"/>
      <w:numFmt w:val="bullet"/>
      <w:lvlText w:val=""/>
      <w:lvlJc w:val="left"/>
      <w:pPr>
        <w:ind w:left="4708" w:hanging="360"/>
      </w:pPr>
      <w:rPr>
        <w:rFonts w:ascii="Symbol" w:hAnsi="Symbol" w:hint="default"/>
      </w:rPr>
    </w:lvl>
    <w:lvl w:ilvl="7" w:tplc="04180003" w:tentative="1">
      <w:start w:val="1"/>
      <w:numFmt w:val="bullet"/>
      <w:lvlText w:val="o"/>
      <w:lvlJc w:val="left"/>
      <w:pPr>
        <w:ind w:left="5428" w:hanging="360"/>
      </w:pPr>
      <w:rPr>
        <w:rFonts w:ascii="Courier New" w:hAnsi="Courier New" w:cs="Courier New" w:hint="default"/>
      </w:rPr>
    </w:lvl>
    <w:lvl w:ilvl="8" w:tplc="04180005" w:tentative="1">
      <w:start w:val="1"/>
      <w:numFmt w:val="bullet"/>
      <w:lvlText w:val=""/>
      <w:lvlJc w:val="left"/>
      <w:pPr>
        <w:ind w:left="6148" w:hanging="360"/>
      </w:pPr>
      <w:rPr>
        <w:rFonts w:ascii="Wingdings" w:hAnsi="Wingdings" w:hint="default"/>
      </w:rPr>
    </w:lvl>
  </w:abstractNum>
  <w:abstractNum w:abstractNumId="14">
    <w:nsid w:val="743D07AC"/>
    <w:multiLevelType w:val="hybridMultilevel"/>
    <w:tmpl w:val="A59E522E"/>
    <w:lvl w:ilvl="0" w:tplc="91587E4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
  </w:num>
  <w:num w:numId="2">
    <w:abstractNumId w:val="7"/>
  </w:num>
  <w:num w:numId="3">
    <w:abstractNumId w:val="0"/>
  </w:num>
  <w:num w:numId="4">
    <w:abstractNumId w:val="11"/>
  </w:num>
  <w:num w:numId="5">
    <w:abstractNumId w:val="8"/>
  </w:num>
  <w:num w:numId="6">
    <w:abstractNumId w:val="4"/>
  </w:num>
  <w:num w:numId="7">
    <w:abstractNumId w:val="12"/>
  </w:num>
  <w:num w:numId="8">
    <w:abstractNumId w:val="13"/>
  </w:num>
  <w:num w:numId="9">
    <w:abstractNumId w:val="6"/>
  </w:num>
  <w:num w:numId="10">
    <w:abstractNumId w:val="10"/>
  </w:num>
  <w:num w:numId="11">
    <w:abstractNumId w:val="9"/>
  </w:num>
  <w:num w:numId="12">
    <w:abstractNumId w:val="5"/>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5C"/>
    <w:rsid w:val="000107CF"/>
    <w:rsid w:val="00016607"/>
    <w:rsid w:val="00020532"/>
    <w:rsid w:val="00045775"/>
    <w:rsid w:val="00072B41"/>
    <w:rsid w:val="00083BDA"/>
    <w:rsid w:val="0009744E"/>
    <w:rsid w:val="000C60F3"/>
    <w:rsid w:val="000C634C"/>
    <w:rsid w:val="000E587B"/>
    <w:rsid w:val="000E61D0"/>
    <w:rsid w:val="001026D2"/>
    <w:rsid w:val="00116B45"/>
    <w:rsid w:val="00131F20"/>
    <w:rsid w:val="00144E71"/>
    <w:rsid w:val="001575A7"/>
    <w:rsid w:val="00172923"/>
    <w:rsid w:val="001B566F"/>
    <w:rsid w:val="00256C18"/>
    <w:rsid w:val="00284F77"/>
    <w:rsid w:val="002873C6"/>
    <w:rsid w:val="002E2C3C"/>
    <w:rsid w:val="0032346F"/>
    <w:rsid w:val="00333C68"/>
    <w:rsid w:val="00334440"/>
    <w:rsid w:val="0035256D"/>
    <w:rsid w:val="003632FA"/>
    <w:rsid w:val="003817EF"/>
    <w:rsid w:val="0039518D"/>
    <w:rsid w:val="003B2C44"/>
    <w:rsid w:val="003B5EB3"/>
    <w:rsid w:val="003D7AC4"/>
    <w:rsid w:val="004315DD"/>
    <w:rsid w:val="00485D66"/>
    <w:rsid w:val="004957F3"/>
    <w:rsid w:val="004B5C2D"/>
    <w:rsid w:val="005026F9"/>
    <w:rsid w:val="00517B4F"/>
    <w:rsid w:val="005B7DFD"/>
    <w:rsid w:val="005B7FB5"/>
    <w:rsid w:val="005C4E10"/>
    <w:rsid w:val="005F0645"/>
    <w:rsid w:val="00611889"/>
    <w:rsid w:val="006230E3"/>
    <w:rsid w:val="006A1071"/>
    <w:rsid w:val="006C4CED"/>
    <w:rsid w:val="006D08D8"/>
    <w:rsid w:val="006D55E6"/>
    <w:rsid w:val="006D62AA"/>
    <w:rsid w:val="006F7232"/>
    <w:rsid w:val="007575BD"/>
    <w:rsid w:val="00762B53"/>
    <w:rsid w:val="00776993"/>
    <w:rsid w:val="007964E6"/>
    <w:rsid w:val="007D7725"/>
    <w:rsid w:val="0080601F"/>
    <w:rsid w:val="008451DE"/>
    <w:rsid w:val="008662A0"/>
    <w:rsid w:val="00870748"/>
    <w:rsid w:val="00884CFA"/>
    <w:rsid w:val="008B00CE"/>
    <w:rsid w:val="008C5645"/>
    <w:rsid w:val="00914EA8"/>
    <w:rsid w:val="00925C64"/>
    <w:rsid w:val="00932BDC"/>
    <w:rsid w:val="00940112"/>
    <w:rsid w:val="009F1D9D"/>
    <w:rsid w:val="00A23EB1"/>
    <w:rsid w:val="00A30353"/>
    <w:rsid w:val="00A74914"/>
    <w:rsid w:val="00AB7702"/>
    <w:rsid w:val="00AF6ADA"/>
    <w:rsid w:val="00B01D00"/>
    <w:rsid w:val="00B53E5C"/>
    <w:rsid w:val="00B85993"/>
    <w:rsid w:val="00BA4E00"/>
    <w:rsid w:val="00BA7921"/>
    <w:rsid w:val="00C25264"/>
    <w:rsid w:val="00C2526E"/>
    <w:rsid w:val="00C8762F"/>
    <w:rsid w:val="00CE3CEA"/>
    <w:rsid w:val="00CF2C8C"/>
    <w:rsid w:val="00D30136"/>
    <w:rsid w:val="00D55177"/>
    <w:rsid w:val="00D60FE5"/>
    <w:rsid w:val="00D6179D"/>
    <w:rsid w:val="00D876CB"/>
    <w:rsid w:val="00DB4F48"/>
    <w:rsid w:val="00E0040F"/>
    <w:rsid w:val="00E767CC"/>
    <w:rsid w:val="00EC7DDB"/>
    <w:rsid w:val="00ED65B9"/>
    <w:rsid w:val="00F325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5C"/>
    <w:pPr>
      <w:ind w:left="720"/>
      <w:contextualSpacing/>
    </w:pPr>
  </w:style>
  <w:style w:type="paragraph" w:customStyle="1" w:styleId="c01pointnumerotealtn">
    <w:name w:val="c01pointnumerotealtn"/>
    <w:basedOn w:val="Normal"/>
    <w:rsid w:val="00B53E5C"/>
    <w:pPr>
      <w:spacing w:before="100" w:beforeAutospacing="1" w:after="240" w:line="240" w:lineRule="auto"/>
      <w:ind w:left="567" w:hanging="539"/>
      <w:jc w:val="both"/>
    </w:pPr>
    <w:rPr>
      <w:rFonts w:ascii="Times New Roman" w:eastAsia="Times New Roman" w:hAnsi="Times New Roman"/>
      <w:sz w:val="24"/>
      <w:szCs w:val="24"/>
      <w:lang w:val="ro-RO" w:eastAsia="ro-RO"/>
    </w:rPr>
  </w:style>
  <w:style w:type="paragraph" w:styleId="Header">
    <w:name w:val="header"/>
    <w:basedOn w:val="Normal"/>
    <w:link w:val="HeaderChar"/>
    <w:uiPriority w:val="99"/>
    <w:unhideWhenUsed/>
    <w:rsid w:val="00B5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5C"/>
  </w:style>
  <w:style w:type="paragraph" w:styleId="Footer">
    <w:name w:val="footer"/>
    <w:basedOn w:val="Normal"/>
    <w:link w:val="FooterChar"/>
    <w:uiPriority w:val="99"/>
    <w:unhideWhenUsed/>
    <w:rsid w:val="00B5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5C"/>
  </w:style>
  <w:style w:type="paragraph" w:styleId="BalloonText">
    <w:name w:val="Balloon Text"/>
    <w:basedOn w:val="Normal"/>
    <w:link w:val="BalloonTextChar"/>
    <w:uiPriority w:val="99"/>
    <w:semiHidden/>
    <w:unhideWhenUsed/>
    <w:rsid w:val="00B53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E5C"/>
    <w:rPr>
      <w:rFonts w:ascii="Tahoma" w:hAnsi="Tahoma" w:cs="Tahoma"/>
      <w:sz w:val="16"/>
      <w:szCs w:val="16"/>
    </w:rPr>
  </w:style>
  <w:style w:type="paragraph" w:customStyle="1" w:styleId="c09marge0avecretrait">
    <w:name w:val="c09marge0avecretrait"/>
    <w:basedOn w:val="Normal"/>
    <w:rsid w:val="00F325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84F77"/>
  </w:style>
  <w:style w:type="paragraph" w:customStyle="1" w:styleId="c02alineaalta">
    <w:name w:val="c02alineaalta"/>
    <w:basedOn w:val="Normal"/>
    <w:rsid w:val="00284F7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03tiretlong">
    <w:name w:val="c03tiretlong"/>
    <w:basedOn w:val="Normal"/>
    <w:rsid w:val="008B00CE"/>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59"/>
    <w:rsid w:val="0001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0136"/>
    <w:pPr>
      <w:spacing w:after="0" w:line="240" w:lineRule="auto"/>
    </w:pPr>
    <w:rPr>
      <w:rFonts w:ascii="Times New Roman" w:eastAsiaTheme="minorHAnsi" w:hAnsi="Times New Roman"/>
      <w:sz w:val="20"/>
      <w:szCs w:val="20"/>
      <w:lang w:val="ro-RO"/>
    </w:rPr>
  </w:style>
  <w:style w:type="character" w:customStyle="1" w:styleId="FootnoteTextChar">
    <w:name w:val="Footnote Text Char"/>
    <w:basedOn w:val="DefaultParagraphFont"/>
    <w:link w:val="FootnoteText"/>
    <w:uiPriority w:val="99"/>
    <w:semiHidden/>
    <w:rsid w:val="00D30136"/>
    <w:rPr>
      <w:rFonts w:ascii="Times New Roman" w:eastAsiaTheme="minorHAnsi" w:hAnsi="Times New Roman"/>
      <w:lang w:eastAsia="en-US"/>
    </w:rPr>
  </w:style>
  <w:style w:type="character" w:styleId="FootnoteReference">
    <w:name w:val="footnote reference"/>
    <w:basedOn w:val="DefaultParagraphFont"/>
    <w:uiPriority w:val="99"/>
    <w:semiHidden/>
    <w:unhideWhenUsed/>
    <w:rsid w:val="00D301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5C"/>
    <w:pPr>
      <w:ind w:left="720"/>
      <w:contextualSpacing/>
    </w:pPr>
  </w:style>
  <w:style w:type="paragraph" w:customStyle="1" w:styleId="c01pointnumerotealtn">
    <w:name w:val="c01pointnumerotealtn"/>
    <w:basedOn w:val="Normal"/>
    <w:rsid w:val="00B53E5C"/>
    <w:pPr>
      <w:spacing w:before="100" w:beforeAutospacing="1" w:after="240" w:line="240" w:lineRule="auto"/>
      <w:ind w:left="567" w:hanging="539"/>
      <w:jc w:val="both"/>
    </w:pPr>
    <w:rPr>
      <w:rFonts w:ascii="Times New Roman" w:eastAsia="Times New Roman" w:hAnsi="Times New Roman"/>
      <w:sz w:val="24"/>
      <w:szCs w:val="24"/>
      <w:lang w:val="ro-RO" w:eastAsia="ro-RO"/>
    </w:rPr>
  </w:style>
  <w:style w:type="paragraph" w:styleId="Header">
    <w:name w:val="header"/>
    <w:basedOn w:val="Normal"/>
    <w:link w:val="HeaderChar"/>
    <w:uiPriority w:val="99"/>
    <w:unhideWhenUsed/>
    <w:rsid w:val="00B5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5C"/>
  </w:style>
  <w:style w:type="paragraph" w:styleId="Footer">
    <w:name w:val="footer"/>
    <w:basedOn w:val="Normal"/>
    <w:link w:val="FooterChar"/>
    <w:uiPriority w:val="99"/>
    <w:unhideWhenUsed/>
    <w:rsid w:val="00B5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5C"/>
  </w:style>
  <w:style w:type="paragraph" w:styleId="BalloonText">
    <w:name w:val="Balloon Text"/>
    <w:basedOn w:val="Normal"/>
    <w:link w:val="BalloonTextChar"/>
    <w:uiPriority w:val="99"/>
    <w:semiHidden/>
    <w:unhideWhenUsed/>
    <w:rsid w:val="00B53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E5C"/>
    <w:rPr>
      <w:rFonts w:ascii="Tahoma" w:hAnsi="Tahoma" w:cs="Tahoma"/>
      <w:sz w:val="16"/>
      <w:szCs w:val="16"/>
    </w:rPr>
  </w:style>
  <w:style w:type="paragraph" w:customStyle="1" w:styleId="c09marge0avecretrait">
    <w:name w:val="c09marge0avecretrait"/>
    <w:basedOn w:val="Normal"/>
    <w:rsid w:val="00F325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84F77"/>
  </w:style>
  <w:style w:type="paragraph" w:customStyle="1" w:styleId="c02alineaalta">
    <w:name w:val="c02alineaalta"/>
    <w:basedOn w:val="Normal"/>
    <w:rsid w:val="00284F7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03tiretlong">
    <w:name w:val="c03tiretlong"/>
    <w:basedOn w:val="Normal"/>
    <w:rsid w:val="008B00CE"/>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59"/>
    <w:rsid w:val="0001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0136"/>
    <w:pPr>
      <w:spacing w:after="0" w:line="240" w:lineRule="auto"/>
    </w:pPr>
    <w:rPr>
      <w:rFonts w:ascii="Times New Roman" w:eastAsiaTheme="minorHAnsi" w:hAnsi="Times New Roman"/>
      <w:sz w:val="20"/>
      <w:szCs w:val="20"/>
      <w:lang w:val="ro-RO"/>
    </w:rPr>
  </w:style>
  <w:style w:type="character" w:customStyle="1" w:styleId="FootnoteTextChar">
    <w:name w:val="Footnote Text Char"/>
    <w:basedOn w:val="DefaultParagraphFont"/>
    <w:link w:val="FootnoteText"/>
    <w:uiPriority w:val="99"/>
    <w:semiHidden/>
    <w:rsid w:val="00D30136"/>
    <w:rPr>
      <w:rFonts w:ascii="Times New Roman" w:eastAsiaTheme="minorHAnsi" w:hAnsi="Times New Roman"/>
      <w:lang w:eastAsia="en-US"/>
    </w:rPr>
  </w:style>
  <w:style w:type="character" w:styleId="FootnoteReference">
    <w:name w:val="footnote reference"/>
    <w:basedOn w:val="DefaultParagraphFont"/>
    <w:uiPriority w:val="99"/>
    <w:semiHidden/>
    <w:unhideWhenUsed/>
    <w:rsid w:val="00D30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FA96-7C94-486E-BA38-8BBDD12E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1302</Words>
  <Characters>7425</Characters>
  <Application>Microsoft Office Word</Application>
  <DocSecurity>0</DocSecurity>
  <Lines>61</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INPPA</vt:lpstr>
      <vt:lpstr>INPPA</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INPPA</dc:title>
  <dc:creator>Isabela Delia Popa</dc:creator>
  <cp:lastModifiedBy>Veronica Morecut</cp:lastModifiedBy>
  <cp:revision>3</cp:revision>
  <dcterms:created xsi:type="dcterms:W3CDTF">2018-09-26T08:19:00Z</dcterms:created>
  <dcterms:modified xsi:type="dcterms:W3CDTF">2018-09-26T08:25:00Z</dcterms:modified>
</cp:coreProperties>
</file>