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28A9" w14:textId="77777777" w:rsidR="00636EC9" w:rsidRPr="009F1054" w:rsidRDefault="00636EC9">
      <w:pPr>
        <w:pStyle w:val="Stiltitlu"/>
        <w:rPr>
          <w:rFonts w:ascii="Tahoma" w:hAnsi="Tahoma" w:cs="Tahoma"/>
          <w:sz w:val="24"/>
          <w:szCs w:val="24"/>
          <w:lang w:val="ro-RO"/>
        </w:rPr>
      </w:pPr>
      <w:bookmarkStart w:id="0" w:name="_GoBack"/>
      <w:bookmarkEnd w:id="0"/>
      <w:r w:rsidRPr="009F1054">
        <w:rPr>
          <w:rFonts w:ascii="Tahoma" w:hAnsi="Tahoma" w:cs="Tahoma"/>
          <w:sz w:val="24"/>
          <w:szCs w:val="24"/>
          <w:lang w:val="ro-RO"/>
        </w:rPr>
        <w:t xml:space="preserve">Institutul Naţional pentru </w:t>
      </w:r>
    </w:p>
    <w:p w14:paraId="583B9670" w14:textId="77777777" w:rsidR="00636EC9" w:rsidRPr="009F1054" w:rsidRDefault="00636EC9">
      <w:pPr>
        <w:pStyle w:val="Stiltitlu"/>
        <w:rPr>
          <w:rFonts w:ascii="Tahoma" w:hAnsi="Tahoma" w:cs="Verdana"/>
          <w:bCs/>
          <w:i/>
          <w:iCs/>
          <w:sz w:val="24"/>
          <w:szCs w:val="24"/>
          <w:lang w:val="ro-RO"/>
        </w:rPr>
      </w:pPr>
      <w:r w:rsidRPr="009F1054">
        <w:rPr>
          <w:rFonts w:ascii="Tahoma" w:hAnsi="Tahoma" w:cs="Tahoma"/>
          <w:sz w:val="24"/>
          <w:szCs w:val="24"/>
          <w:lang w:val="ro-RO"/>
        </w:rPr>
        <w:t>Pregătirea şi Perfecţionarea Avocaţilor</w:t>
      </w:r>
    </w:p>
    <w:p w14:paraId="010725A0" w14:textId="77777777" w:rsidR="00636EC9" w:rsidRPr="009F1054" w:rsidRDefault="00636EC9">
      <w:pPr>
        <w:pStyle w:val="Subtitle"/>
        <w:rPr>
          <w:b/>
          <w:bCs/>
          <w:sz w:val="24"/>
          <w:szCs w:val="24"/>
          <w:u w:val="single"/>
          <w:lang w:val="ro-RO"/>
        </w:rPr>
      </w:pPr>
      <w:r w:rsidRPr="009F1054">
        <w:rPr>
          <w:rFonts w:cs="Verdana"/>
          <w:b/>
          <w:bCs/>
          <w:i/>
          <w:iCs/>
          <w:sz w:val="24"/>
          <w:szCs w:val="24"/>
          <w:lang w:val="ro-RO"/>
        </w:rPr>
        <w:t>CONSILIUL DE CONDUCERE</w:t>
      </w:r>
    </w:p>
    <w:p w14:paraId="0A3B23ED" w14:textId="77777777" w:rsidR="00636EC9" w:rsidRPr="009F1054" w:rsidRDefault="00636EC9">
      <w:pPr>
        <w:jc w:val="center"/>
        <w:rPr>
          <w:rFonts w:ascii="Tahoma" w:hAnsi="Tahoma" w:cs="Tahoma"/>
          <w:b/>
          <w:bCs/>
          <w:u w:val="single"/>
          <w:lang w:val="ro-RO"/>
        </w:rPr>
      </w:pPr>
    </w:p>
    <w:p w14:paraId="19DDE270" w14:textId="77777777" w:rsidR="00636EC9" w:rsidRPr="009F1054" w:rsidRDefault="00636EC9">
      <w:pPr>
        <w:jc w:val="center"/>
        <w:rPr>
          <w:rFonts w:ascii="Tahoma" w:eastAsia="Verdana" w:hAnsi="Tahoma" w:cs="Verdana"/>
          <w:b/>
          <w:lang w:val="ro-RO"/>
        </w:rPr>
      </w:pPr>
      <w:r w:rsidRPr="009F1054">
        <w:rPr>
          <w:rFonts w:ascii="Tahoma" w:hAnsi="Tahoma" w:cs="Verdana"/>
          <w:b/>
          <w:bCs/>
          <w:spacing w:val="20"/>
          <w:w w:val="150"/>
          <w:lang w:val="ro-RO"/>
        </w:rPr>
        <w:t xml:space="preserve">HOTĂRÂREA NR. </w:t>
      </w:r>
      <w:r w:rsidR="00B83D72">
        <w:rPr>
          <w:rFonts w:ascii="Tahoma" w:hAnsi="Tahoma" w:cs="Verdana"/>
          <w:b/>
          <w:bCs/>
          <w:spacing w:val="20"/>
          <w:w w:val="150"/>
          <w:lang w:val="ro-RO"/>
        </w:rPr>
        <w:t>4</w:t>
      </w:r>
    </w:p>
    <w:p w14:paraId="7044AF86" w14:textId="77777777" w:rsidR="00636EC9" w:rsidRPr="009F1054" w:rsidRDefault="00636EC9">
      <w:pPr>
        <w:jc w:val="center"/>
        <w:rPr>
          <w:rFonts w:ascii="Tahoma" w:hAnsi="Tahoma" w:cs="Verdana"/>
          <w:b/>
          <w:lang w:val="ro-RO"/>
        </w:rPr>
      </w:pPr>
      <w:r w:rsidRPr="009F1054">
        <w:rPr>
          <w:rFonts w:ascii="Tahoma" w:eastAsia="Verdana" w:hAnsi="Tahoma" w:cs="Verdana"/>
          <w:b/>
          <w:lang w:val="ro-RO"/>
        </w:rPr>
        <w:t xml:space="preserve">             </w:t>
      </w:r>
      <w:r w:rsidR="00F72AB4">
        <w:rPr>
          <w:rFonts w:ascii="Tahoma" w:eastAsia="Verdana" w:hAnsi="Tahoma" w:cs="Verdana"/>
          <w:b/>
          <w:lang w:val="ro-RO"/>
        </w:rPr>
        <w:t>21</w:t>
      </w:r>
      <w:r w:rsidR="009F1054" w:rsidRPr="009F1054">
        <w:rPr>
          <w:rFonts w:ascii="Tahoma" w:eastAsia="Verdana" w:hAnsi="Tahoma" w:cs="Verdana"/>
          <w:b/>
          <w:lang w:val="ro-RO"/>
        </w:rPr>
        <w:t xml:space="preserve"> iunie</w:t>
      </w:r>
      <w:r w:rsidRPr="009F1054">
        <w:rPr>
          <w:rFonts w:ascii="Tahoma" w:hAnsi="Tahoma" w:cs="Verdana"/>
          <w:b/>
          <w:lang w:val="ro-RO"/>
        </w:rPr>
        <w:t xml:space="preserve"> 201</w:t>
      </w:r>
      <w:r w:rsidR="00F72AB4">
        <w:rPr>
          <w:rFonts w:ascii="Tahoma" w:hAnsi="Tahoma" w:cs="Verdana"/>
          <w:b/>
          <w:lang w:val="ro-RO"/>
        </w:rPr>
        <w:t>8</w:t>
      </w:r>
      <w:r w:rsidRPr="009F1054">
        <w:rPr>
          <w:rFonts w:ascii="Tahoma" w:hAnsi="Tahoma" w:cs="Verdana"/>
          <w:b/>
          <w:lang w:val="ro-RO"/>
        </w:rPr>
        <w:t xml:space="preserve"> </w:t>
      </w:r>
    </w:p>
    <w:p w14:paraId="160E9F28" w14:textId="77777777" w:rsidR="00636EC9" w:rsidRPr="009F1054" w:rsidRDefault="00636EC9">
      <w:pPr>
        <w:rPr>
          <w:rFonts w:ascii="Tahoma" w:hAnsi="Tahoma" w:cs="Verdana"/>
          <w:b/>
          <w:lang w:val="ro-RO"/>
        </w:rPr>
      </w:pPr>
    </w:p>
    <w:p w14:paraId="49FC79F4" w14:textId="77777777" w:rsidR="00636EC9" w:rsidRPr="009F1054" w:rsidRDefault="00636EC9">
      <w:pPr>
        <w:ind w:firstLine="720"/>
        <w:jc w:val="both"/>
        <w:rPr>
          <w:rFonts w:ascii="Tahoma" w:hAnsi="Tahoma" w:cs="Verdana"/>
          <w:lang w:val="ro-RO"/>
        </w:rPr>
      </w:pPr>
      <w:r w:rsidRPr="009F1054">
        <w:rPr>
          <w:rFonts w:ascii="Tahoma" w:hAnsi="Tahoma" w:cs="Verdana"/>
          <w:lang w:val="ro-RO"/>
        </w:rPr>
        <w:t xml:space="preserve">În conformitate cu dispoziţiile art. 299 alin. (5), art. 311 alin. (4)  şi art. 312 alin (1) lit. a) din Statutul profesiei de avocat, </w:t>
      </w:r>
    </w:p>
    <w:p w14:paraId="75DF56DC" w14:textId="77777777" w:rsidR="00636EC9" w:rsidRPr="009F1054" w:rsidRDefault="00636EC9">
      <w:pPr>
        <w:ind w:firstLine="720"/>
        <w:jc w:val="both"/>
        <w:rPr>
          <w:rFonts w:ascii="Tahoma" w:hAnsi="Tahoma" w:cs="Verdana"/>
          <w:lang w:val="ro-RO"/>
        </w:rPr>
      </w:pPr>
      <w:r w:rsidRPr="009F1054">
        <w:rPr>
          <w:rFonts w:ascii="Tahoma" w:hAnsi="Tahoma" w:cs="Verdana"/>
          <w:lang w:val="ro-RO"/>
        </w:rPr>
        <w:t xml:space="preserve">în temeiul dispoziţiilor art. 7 alin. (1) lit. b) şi c) şi e) art. 13 lit. c) din Statutul Institutului Naţional pentru Pregătirea şi Perfecţionarea Avocaţilor, </w:t>
      </w:r>
    </w:p>
    <w:p w14:paraId="1414323B" w14:textId="77777777" w:rsidR="00636EC9" w:rsidRPr="009F1054" w:rsidRDefault="00636EC9">
      <w:pPr>
        <w:ind w:firstLine="720"/>
        <w:jc w:val="both"/>
        <w:rPr>
          <w:rFonts w:ascii="Tahoma" w:hAnsi="Tahoma" w:cs="Verdana"/>
          <w:lang w:val="ro-RO"/>
        </w:rPr>
      </w:pPr>
      <w:r w:rsidRPr="009F1054">
        <w:rPr>
          <w:rFonts w:ascii="Tahoma" w:hAnsi="Tahoma" w:cs="Verdana"/>
          <w:lang w:val="ro-RO"/>
        </w:rPr>
        <w:t xml:space="preserve">în acord cu prevederile art. 14 din Regulamentul de Organizare şi Funcţionare al INPPA, </w:t>
      </w:r>
    </w:p>
    <w:p w14:paraId="65D7C218" w14:textId="77777777" w:rsidR="00636EC9" w:rsidRPr="009F1054" w:rsidRDefault="00636EC9">
      <w:pPr>
        <w:jc w:val="both"/>
        <w:rPr>
          <w:rFonts w:ascii="Tahoma" w:hAnsi="Tahoma" w:cs="Verdana"/>
          <w:lang w:val="ro-RO"/>
        </w:rPr>
      </w:pPr>
    </w:p>
    <w:p w14:paraId="213E098F" w14:textId="77777777" w:rsidR="00636EC9" w:rsidRPr="009F1054" w:rsidRDefault="00636EC9">
      <w:pPr>
        <w:ind w:firstLine="720"/>
        <w:jc w:val="both"/>
        <w:rPr>
          <w:rFonts w:ascii="Tahoma" w:hAnsi="Tahoma" w:cs="Verdana"/>
          <w:lang w:val="ro-RO"/>
        </w:rPr>
      </w:pPr>
      <w:r w:rsidRPr="009F1054">
        <w:rPr>
          <w:rFonts w:ascii="Tahoma" w:hAnsi="Tahoma" w:cs="Verdana"/>
          <w:lang w:val="ro-RO"/>
        </w:rPr>
        <w:t xml:space="preserve">Luând act de dezbaterile ce au avut loc în cadrul şedinţei comune a Consiliului de Conducere al INPPA și a Comisiei Permanente din data de </w:t>
      </w:r>
      <w:r w:rsidR="00F72AB4">
        <w:rPr>
          <w:rFonts w:ascii="Tahoma" w:hAnsi="Tahoma" w:cs="Verdana"/>
          <w:lang w:val="ro-RO"/>
        </w:rPr>
        <w:t>21</w:t>
      </w:r>
      <w:r w:rsidR="00721DC1">
        <w:rPr>
          <w:rFonts w:ascii="Tahoma" w:hAnsi="Tahoma" w:cs="Verdana"/>
          <w:lang w:val="ro-RO"/>
        </w:rPr>
        <w:t xml:space="preserve"> iunie </w:t>
      </w:r>
      <w:r w:rsidRPr="009F1054">
        <w:rPr>
          <w:rFonts w:ascii="Tahoma" w:hAnsi="Tahoma" w:cs="Verdana"/>
          <w:lang w:val="ro-RO"/>
        </w:rPr>
        <w:t>201</w:t>
      </w:r>
      <w:r w:rsidR="00F72AB4">
        <w:rPr>
          <w:rFonts w:ascii="Tahoma" w:hAnsi="Tahoma" w:cs="Verdana"/>
          <w:lang w:val="ro-RO"/>
        </w:rPr>
        <w:t>8</w:t>
      </w:r>
      <w:r w:rsidRPr="009F1054">
        <w:rPr>
          <w:rFonts w:ascii="Tahoma" w:hAnsi="Tahoma" w:cs="Verdana"/>
          <w:lang w:val="ro-RO"/>
        </w:rPr>
        <w:t>,</w:t>
      </w:r>
    </w:p>
    <w:p w14:paraId="64016992" w14:textId="77777777" w:rsidR="00636EC9" w:rsidRPr="009F1054" w:rsidRDefault="00636EC9">
      <w:pPr>
        <w:jc w:val="both"/>
        <w:rPr>
          <w:rFonts w:ascii="Tahoma" w:hAnsi="Tahoma" w:cs="Verdana"/>
          <w:lang w:val="ro-RO"/>
        </w:rPr>
      </w:pPr>
    </w:p>
    <w:p w14:paraId="253BEFD7" w14:textId="77777777" w:rsidR="00636EC9" w:rsidRPr="009F1054" w:rsidRDefault="00636EC9">
      <w:pPr>
        <w:jc w:val="both"/>
        <w:rPr>
          <w:rFonts w:ascii="Tahoma" w:hAnsi="Tahoma" w:cs="Verdana"/>
          <w:lang w:val="ro-RO"/>
        </w:rPr>
      </w:pPr>
      <w:r w:rsidRPr="009F1054">
        <w:rPr>
          <w:rFonts w:ascii="Tahoma" w:hAnsi="Tahoma" w:cs="Verdana"/>
          <w:lang w:val="ro-RO"/>
        </w:rPr>
        <w:tab/>
        <w:t xml:space="preserve">Consiliul de Conducere al Institutului Naţional pentru Pregătirea şi Perfecţionarea Avocaţilor, </w:t>
      </w:r>
    </w:p>
    <w:p w14:paraId="076CD0DE" w14:textId="77777777" w:rsidR="00636EC9" w:rsidRPr="009F1054" w:rsidRDefault="00636EC9">
      <w:pPr>
        <w:jc w:val="both"/>
        <w:rPr>
          <w:rFonts w:ascii="Tahoma" w:hAnsi="Tahoma" w:cs="Verdana"/>
          <w:lang w:val="ro-RO"/>
        </w:rPr>
      </w:pPr>
    </w:p>
    <w:p w14:paraId="74958C3E" w14:textId="77777777" w:rsidR="00636EC9" w:rsidRPr="009F1054" w:rsidRDefault="00636EC9">
      <w:pPr>
        <w:jc w:val="center"/>
        <w:rPr>
          <w:rFonts w:ascii="Tahoma" w:hAnsi="Tahoma" w:cs="Verdana"/>
          <w:b/>
          <w:lang w:val="ro-RO"/>
        </w:rPr>
      </w:pPr>
      <w:r w:rsidRPr="009F1054">
        <w:rPr>
          <w:rFonts w:ascii="Tahoma" w:hAnsi="Tahoma" w:cs="Verdana"/>
          <w:b/>
          <w:lang w:val="ro-RO"/>
        </w:rPr>
        <w:t>HOTĂRĂŞTE:</w:t>
      </w:r>
    </w:p>
    <w:p w14:paraId="28321E30" w14:textId="77777777" w:rsidR="00636EC9" w:rsidRPr="009F1054" w:rsidRDefault="00636EC9">
      <w:pPr>
        <w:jc w:val="center"/>
        <w:rPr>
          <w:rFonts w:ascii="Tahoma" w:hAnsi="Tahoma" w:cs="Verdana"/>
          <w:b/>
          <w:lang w:val="ro-RO"/>
        </w:rPr>
      </w:pPr>
    </w:p>
    <w:p w14:paraId="25BCCE10" w14:textId="77777777" w:rsidR="00721DC1" w:rsidRDefault="00636EC9">
      <w:pPr>
        <w:ind w:firstLine="720"/>
        <w:jc w:val="both"/>
        <w:rPr>
          <w:rFonts w:ascii="Tahoma" w:hAnsi="Tahoma" w:cs="Verdana"/>
          <w:lang w:val="ro-RO"/>
        </w:rPr>
      </w:pPr>
      <w:r w:rsidRPr="009F1054">
        <w:rPr>
          <w:rFonts w:ascii="Tahoma" w:hAnsi="Tahoma" w:cs="Verdana"/>
          <w:b/>
          <w:lang w:val="ro-RO"/>
        </w:rPr>
        <w:t xml:space="preserve">Art. 1. </w:t>
      </w:r>
      <w:r w:rsidR="00721DC1">
        <w:rPr>
          <w:rFonts w:ascii="Tahoma" w:hAnsi="Tahoma" w:cs="Verdana"/>
          <w:b/>
          <w:lang w:val="ro-RO"/>
        </w:rPr>
        <w:t>–</w:t>
      </w:r>
      <w:r w:rsidRPr="009F1054">
        <w:rPr>
          <w:rFonts w:ascii="Tahoma" w:hAnsi="Tahoma" w:cs="Verdana"/>
          <w:lang w:val="ro-RO"/>
        </w:rPr>
        <w:t xml:space="preserve"> </w:t>
      </w:r>
      <w:r w:rsidR="00721DC1">
        <w:rPr>
          <w:rFonts w:ascii="Tahoma" w:hAnsi="Tahoma" w:cs="Verdana"/>
          <w:lang w:val="ro-RO"/>
        </w:rPr>
        <w:t xml:space="preserve">(1) </w:t>
      </w:r>
      <w:r w:rsidRPr="009F1054">
        <w:rPr>
          <w:rFonts w:ascii="Tahoma" w:hAnsi="Tahoma" w:cs="Verdana"/>
          <w:lang w:val="ro-RO"/>
        </w:rPr>
        <w:t xml:space="preserve">Calificativele obţinute de avocaţii stagiari care au susţinut examen de absolvire în sesiuni anterioare de examen organizate de Institutul Naţional pentru Pregătirea şi Perfecţionarea Avocaţilor şi care au promovat exclusiv proba orală urmează a fi </w:t>
      </w:r>
      <w:r w:rsidR="00721DC1">
        <w:rPr>
          <w:rFonts w:ascii="Tahoma" w:hAnsi="Tahoma" w:cs="Verdana"/>
          <w:lang w:val="ro-RO"/>
        </w:rPr>
        <w:t>avute în vedere în cadrul examenului de absolvire a I.N.P.P.A., sesiunea 201</w:t>
      </w:r>
      <w:r w:rsidR="00F72AB4">
        <w:rPr>
          <w:rFonts w:ascii="Tahoma" w:hAnsi="Tahoma" w:cs="Verdana"/>
          <w:lang w:val="ro-RO"/>
        </w:rPr>
        <w:t>8</w:t>
      </w:r>
      <w:r w:rsidR="00721DC1">
        <w:rPr>
          <w:rFonts w:ascii="Tahoma" w:hAnsi="Tahoma" w:cs="Verdana"/>
          <w:lang w:val="ro-RO"/>
        </w:rPr>
        <w:t>:</w:t>
      </w:r>
    </w:p>
    <w:p w14:paraId="5739FF3F" w14:textId="77777777" w:rsidR="00721DC1" w:rsidRDefault="00721DC1" w:rsidP="00721DC1">
      <w:pPr>
        <w:numPr>
          <w:ilvl w:val="0"/>
          <w:numId w:val="3"/>
        </w:numPr>
        <w:jc w:val="both"/>
        <w:rPr>
          <w:rFonts w:ascii="Tahoma" w:hAnsi="Tahoma" w:cs="Verdana"/>
          <w:lang w:val="ro-RO"/>
        </w:rPr>
      </w:pPr>
      <w:r>
        <w:rPr>
          <w:rFonts w:ascii="Tahoma" w:hAnsi="Tahoma" w:cs="Verdana"/>
          <w:lang w:val="ro-RO"/>
        </w:rPr>
        <w:t>Vor fi recunoscute rezultate</w:t>
      </w:r>
      <w:r w:rsidR="009B21F7">
        <w:rPr>
          <w:rFonts w:ascii="Tahoma" w:hAnsi="Tahoma" w:cs="Verdana"/>
          <w:lang w:val="ro-RO"/>
        </w:rPr>
        <w:t>le</w:t>
      </w:r>
      <w:r>
        <w:rPr>
          <w:rFonts w:ascii="Tahoma" w:hAnsi="Tahoma" w:cs="Verdana"/>
          <w:lang w:val="ro-RO"/>
        </w:rPr>
        <w:t xml:space="preserve"> obținute de avocații stagiari care au susținut și promovat probele orale în</w:t>
      </w:r>
      <w:r w:rsidR="00F72AB4">
        <w:rPr>
          <w:rFonts w:ascii="Tahoma" w:hAnsi="Tahoma" w:cs="Verdana"/>
          <w:lang w:val="ro-RO"/>
        </w:rPr>
        <w:t xml:space="preserve"> sesiunile de examen 2014, 2015, </w:t>
      </w:r>
      <w:r>
        <w:rPr>
          <w:rFonts w:ascii="Tahoma" w:hAnsi="Tahoma" w:cs="Verdana"/>
          <w:lang w:val="ro-RO"/>
        </w:rPr>
        <w:t>2016</w:t>
      </w:r>
      <w:r w:rsidR="00F72AB4">
        <w:rPr>
          <w:rFonts w:ascii="Tahoma" w:hAnsi="Tahoma" w:cs="Verdana"/>
          <w:lang w:val="ro-RO"/>
        </w:rPr>
        <w:t xml:space="preserve"> și 2017</w:t>
      </w:r>
      <w:r>
        <w:rPr>
          <w:rFonts w:ascii="Tahoma" w:hAnsi="Tahoma" w:cs="Verdana"/>
          <w:lang w:val="ro-RO"/>
        </w:rPr>
        <w:t xml:space="preserve">. </w:t>
      </w:r>
    </w:p>
    <w:p w14:paraId="67020002" w14:textId="77777777" w:rsidR="00721DC1" w:rsidRDefault="00721DC1" w:rsidP="00721DC1">
      <w:pPr>
        <w:numPr>
          <w:ilvl w:val="0"/>
          <w:numId w:val="3"/>
        </w:numPr>
        <w:jc w:val="both"/>
        <w:rPr>
          <w:rFonts w:ascii="Tahoma" w:hAnsi="Tahoma" w:cs="Verdana"/>
          <w:lang w:val="ro-RO"/>
        </w:rPr>
      </w:pPr>
      <w:r>
        <w:rPr>
          <w:rFonts w:ascii="Tahoma" w:hAnsi="Tahoma" w:cs="Verdana"/>
          <w:lang w:val="ro-RO"/>
        </w:rPr>
        <w:t xml:space="preserve">Nu vor fi recunoscute </w:t>
      </w:r>
      <w:r w:rsidR="009B21F7">
        <w:rPr>
          <w:rFonts w:ascii="Tahoma" w:hAnsi="Tahoma" w:cs="Verdana"/>
          <w:lang w:val="ro-RO"/>
        </w:rPr>
        <w:t xml:space="preserve">rezultatele obținute de avocații stagiari care au susținut și promovat probele orale în sesiunile de examen anterior anului 2014. </w:t>
      </w:r>
    </w:p>
    <w:p w14:paraId="52C72AB0" w14:textId="77777777" w:rsidR="009B21F7" w:rsidRDefault="009B21F7" w:rsidP="009B21F7">
      <w:pPr>
        <w:ind w:firstLine="851"/>
        <w:jc w:val="both"/>
        <w:rPr>
          <w:rFonts w:ascii="Tahoma" w:hAnsi="Tahoma" w:cs="Verdana"/>
          <w:lang w:val="ro-RO"/>
        </w:rPr>
      </w:pPr>
      <w:r>
        <w:rPr>
          <w:rFonts w:ascii="Tahoma" w:hAnsi="Tahoma" w:cs="Verdana"/>
          <w:lang w:val="ro-RO"/>
        </w:rPr>
        <w:t xml:space="preserve">(2) Avocaților stagiari care se încadrează în prevederile alin. (1) lit. b) a prezentei hotărâri urmează a li se aplica prevederile hotărârii nr. </w:t>
      </w:r>
      <w:r w:rsidR="00B83D72">
        <w:rPr>
          <w:rFonts w:ascii="Tahoma" w:hAnsi="Tahoma" w:cs="Verdana"/>
          <w:lang w:val="ro-RO"/>
        </w:rPr>
        <w:t xml:space="preserve">3 </w:t>
      </w:r>
      <w:r>
        <w:rPr>
          <w:rFonts w:ascii="Tahoma" w:hAnsi="Tahoma" w:cs="Verdana"/>
          <w:lang w:val="ro-RO"/>
        </w:rPr>
        <w:t xml:space="preserve">din </w:t>
      </w:r>
      <w:r w:rsidR="00F72AB4">
        <w:rPr>
          <w:rFonts w:ascii="Tahoma" w:hAnsi="Tahoma" w:cs="Verdana"/>
          <w:lang w:val="ro-RO"/>
        </w:rPr>
        <w:t>21</w:t>
      </w:r>
      <w:r>
        <w:rPr>
          <w:rFonts w:ascii="Tahoma" w:hAnsi="Tahoma" w:cs="Verdana"/>
          <w:lang w:val="ro-RO"/>
        </w:rPr>
        <w:t xml:space="preserve"> iunie 201</w:t>
      </w:r>
      <w:r w:rsidR="00F72AB4">
        <w:rPr>
          <w:rFonts w:ascii="Tahoma" w:hAnsi="Tahoma" w:cs="Verdana"/>
          <w:lang w:val="ro-RO"/>
        </w:rPr>
        <w:t>8</w:t>
      </w:r>
      <w:r>
        <w:rPr>
          <w:rFonts w:ascii="Tahoma" w:hAnsi="Tahoma" w:cs="Verdana"/>
          <w:lang w:val="ro-RO"/>
        </w:rPr>
        <w:t xml:space="preserve">, </w:t>
      </w:r>
      <w:r w:rsidR="00D6785C">
        <w:rPr>
          <w:rFonts w:ascii="Tahoma" w:hAnsi="Tahoma" w:cs="Verdana"/>
          <w:lang w:val="ro-RO"/>
        </w:rPr>
        <w:t>privind</w:t>
      </w:r>
      <w:r>
        <w:rPr>
          <w:rFonts w:ascii="Tahoma" w:hAnsi="Tahoma" w:cs="Verdana"/>
          <w:lang w:val="ro-RO"/>
        </w:rPr>
        <w:t xml:space="preserve"> </w:t>
      </w:r>
      <w:r w:rsidRPr="009B21F7">
        <w:rPr>
          <w:rFonts w:ascii="Tahoma" w:hAnsi="Tahoma" w:cs="Verdana"/>
          <w:lang w:val="ro-RO"/>
        </w:rPr>
        <w:t xml:space="preserve">adoptarea modelului caietului de lucrări profesionale pentru anul II de pregătire profesionala </w:t>
      </w:r>
      <w:r w:rsidR="00D6785C" w:rsidRPr="009B21F7">
        <w:rPr>
          <w:rFonts w:ascii="Tahoma" w:hAnsi="Tahoma" w:cs="Verdana"/>
          <w:lang w:val="ro-RO"/>
        </w:rPr>
        <w:t>inițială</w:t>
      </w:r>
      <w:r w:rsidR="00D6785C">
        <w:rPr>
          <w:rFonts w:ascii="Tahoma" w:hAnsi="Tahoma" w:cs="Verdana"/>
          <w:lang w:val="ro-RO"/>
        </w:rPr>
        <w:t>.</w:t>
      </w:r>
    </w:p>
    <w:p w14:paraId="3DBD733C" w14:textId="77777777" w:rsidR="009B21F7" w:rsidRDefault="009B21F7">
      <w:pPr>
        <w:ind w:firstLine="720"/>
        <w:jc w:val="both"/>
        <w:rPr>
          <w:rFonts w:ascii="Tahoma" w:hAnsi="Tahoma" w:cs="Verdana"/>
          <w:b/>
          <w:lang w:val="ro-RO"/>
        </w:rPr>
      </w:pPr>
    </w:p>
    <w:p w14:paraId="27FAA1B6" w14:textId="77777777" w:rsidR="00636EC9" w:rsidRPr="009F1054" w:rsidRDefault="00636EC9">
      <w:pPr>
        <w:ind w:firstLine="720"/>
        <w:jc w:val="both"/>
        <w:rPr>
          <w:rFonts w:ascii="Tahoma" w:hAnsi="Tahoma" w:cs="Verdana"/>
          <w:lang w:val="ro-RO"/>
        </w:rPr>
      </w:pPr>
      <w:r w:rsidRPr="009F1054">
        <w:rPr>
          <w:rFonts w:ascii="Tahoma" w:hAnsi="Tahoma" w:cs="Verdana"/>
          <w:b/>
          <w:lang w:val="ro-RO"/>
        </w:rPr>
        <w:t xml:space="preserve">Art. 2 – </w:t>
      </w:r>
      <w:r w:rsidRPr="009F1054">
        <w:rPr>
          <w:rFonts w:ascii="Tahoma" w:hAnsi="Tahoma" w:cs="Verdana"/>
          <w:lang w:val="ro-RO"/>
        </w:rPr>
        <w:t>Directorul Institutului Naţional pentru Pregătirea şi Perfecţionarea Avocaţilor / Directorii centrelor teritoriale ale INPPA vor lua măsurile necesare, prin Departamentul de Pregătire Iniţială, privind înregistrarea, din oficiu, pe listele de examen</w:t>
      </w:r>
      <w:r w:rsidR="009B21F7">
        <w:rPr>
          <w:rFonts w:ascii="Tahoma" w:hAnsi="Tahoma" w:cs="Verdana"/>
          <w:lang w:val="ro-RO"/>
        </w:rPr>
        <w:t xml:space="preserve"> </w:t>
      </w:r>
      <w:r w:rsidRPr="009F1054">
        <w:rPr>
          <w:rFonts w:ascii="Tahoma" w:hAnsi="Tahoma" w:cs="Verdana"/>
          <w:lang w:val="ro-RO"/>
        </w:rPr>
        <w:t>a avocaţilor stagiari menţionaţi la art. 1</w:t>
      </w:r>
      <w:r w:rsidR="009B21F7">
        <w:rPr>
          <w:rFonts w:ascii="Tahoma" w:hAnsi="Tahoma" w:cs="Verdana"/>
          <w:lang w:val="ro-RO"/>
        </w:rPr>
        <w:t>, cu distincția rezultată din aplicarea art. 1</w:t>
      </w:r>
      <w:r w:rsidRPr="009F1054">
        <w:rPr>
          <w:rFonts w:ascii="Tahoma" w:hAnsi="Tahoma" w:cs="Verdana"/>
          <w:lang w:val="ro-RO"/>
        </w:rPr>
        <w:t>.</w:t>
      </w:r>
    </w:p>
    <w:p w14:paraId="551A7F95" w14:textId="77777777" w:rsidR="00636EC9" w:rsidRPr="009F1054" w:rsidRDefault="00636EC9">
      <w:pPr>
        <w:ind w:firstLine="720"/>
        <w:jc w:val="both"/>
        <w:rPr>
          <w:rFonts w:ascii="Tahoma" w:hAnsi="Tahoma" w:cs="Verdana"/>
          <w:lang w:val="ro-RO"/>
        </w:rPr>
      </w:pPr>
    </w:p>
    <w:p w14:paraId="749D675E" w14:textId="77777777" w:rsidR="00636EC9" w:rsidRPr="009F1054" w:rsidRDefault="00636EC9">
      <w:pPr>
        <w:ind w:firstLine="720"/>
        <w:jc w:val="both"/>
        <w:rPr>
          <w:rFonts w:ascii="Tahoma" w:hAnsi="Tahoma" w:cs="Verdana"/>
          <w:lang w:val="ro-RO"/>
        </w:rPr>
      </w:pPr>
      <w:r w:rsidRPr="009F1054">
        <w:rPr>
          <w:rFonts w:ascii="Tahoma" w:hAnsi="Tahoma" w:cs="Verdana"/>
          <w:b/>
          <w:lang w:val="ro-RO"/>
        </w:rPr>
        <w:t xml:space="preserve">Art. 3. </w:t>
      </w:r>
      <w:r w:rsidRPr="009F1054">
        <w:rPr>
          <w:rFonts w:ascii="Tahoma" w:hAnsi="Tahoma" w:cs="Verdana"/>
          <w:lang w:val="ro-RO"/>
        </w:rPr>
        <w:t xml:space="preserve">– Prezenta hotărâre se comunică UNBR, centrelor teritoriale ale INPPA şi se publică pe site-ul </w:t>
      </w:r>
      <w:hyperlink r:id="rId5" w:history="1">
        <w:r w:rsidRPr="009F1054">
          <w:rPr>
            <w:rStyle w:val="Hyperlink"/>
            <w:rFonts w:ascii="Tahoma" w:hAnsi="Tahoma" w:cs="Verdana"/>
            <w:lang w:val="ro-RO"/>
          </w:rPr>
          <w:t>www.inppa.ro</w:t>
        </w:r>
      </w:hyperlink>
      <w:r w:rsidRPr="009F1054">
        <w:rPr>
          <w:rFonts w:ascii="Tahoma" w:hAnsi="Tahoma" w:cs="Verdana"/>
          <w:lang w:val="ro-RO"/>
        </w:rPr>
        <w:t xml:space="preserve">. </w:t>
      </w:r>
    </w:p>
    <w:p w14:paraId="55938519" w14:textId="77777777" w:rsidR="00636EC9" w:rsidRPr="009F1054" w:rsidRDefault="00636EC9">
      <w:pPr>
        <w:ind w:firstLine="720"/>
        <w:jc w:val="both"/>
        <w:rPr>
          <w:rFonts w:ascii="Tahoma" w:hAnsi="Tahoma" w:cs="Verdana"/>
          <w:lang w:val="ro-RO"/>
        </w:rPr>
      </w:pPr>
    </w:p>
    <w:p w14:paraId="1765E4FB" w14:textId="77777777" w:rsidR="009F1054" w:rsidRPr="009F1054" w:rsidRDefault="009F1054">
      <w:pPr>
        <w:ind w:firstLine="720"/>
        <w:jc w:val="both"/>
        <w:rPr>
          <w:rFonts w:ascii="Tahoma" w:hAnsi="Tahoma" w:cs="Verdana"/>
          <w:lang w:val="ro-RO"/>
        </w:rPr>
      </w:pPr>
    </w:p>
    <w:p w14:paraId="3B0E1CF1" w14:textId="77777777" w:rsidR="009F1054" w:rsidRPr="009F1054" w:rsidRDefault="009F1054" w:rsidP="009F1054">
      <w:pPr>
        <w:jc w:val="center"/>
        <w:rPr>
          <w:rFonts w:ascii="Verdana" w:hAnsi="Verdana"/>
          <w:b/>
          <w:bCs/>
          <w:lang w:val="ro-RO"/>
        </w:rPr>
      </w:pPr>
    </w:p>
    <w:p w14:paraId="27792664" w14:textId="77777777" w:rsidR="00D6785C" w:rsidRPr="009F1054" w:rsidRDefault="00D6785C" w:rsidP="009F1054">
      <w:pPr>
        <w:jc w:val="center"/>
        <w:rPr>
          <w:rFonts w:ascii="Verdana" w:hAnsi="Verdana"/>
          <w:b/>
          <w:bCs/>
          <w:lang w:val="ro-RO"/>
        </w:rPr>
      </w:pPr>
    </w:p>
    <w:p w14:paraId="6DC27FD3" w14:textId="77777777" w:rsidR="00636EC9" w:rsidRPr="009F1054" w:rsidRDefault="009F1054">
      <w:pPr>
        <w:jc w:val="center"/>
        <w:rPr>
          <w:rFonts w:ascii="Tahoma" w:hAnsi="Tahoma" w:cs="Verdana"/>
          <w:lang w:val="ro-RO"/>
        </w:rPr>
      </w:pPr>
      <w:r w:rsidRPr="009F1054">
        <w:rPr>
          <w:rFonts w:ascii="Verdana" w:hAnsi="Verdana"/>
          <w:b/>
          <w:bCs/>
          <w:lang w:val="ro-RO"/>
        </w:rPr>
        <w:t>CONSILIUL DE CONDUCERE AL INPPA</w:t>
      </w:r>
    </w:p>
    <w:sectPr w:rsidR="00636EC9" w:rsidRPr="009F1054" w:rsidSect="00D6785C">
      <w:pgSz w:w="12240" w:h="15840"/>
      <w:pgMar w:top="426"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9E48B9"/>
    <w:multiLevelType w:val="hybridMultilevel"/>
    <w:tmpl w:val="4336C568"/>
    <w:lvl w:ilvl="0" w:tplc="E5DE2CB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054"/>
    <w:rsid w:val="00636EC9"/>
    <w:rsid w:val="00721DC1"/>
    <w:rsid w:val="008146DB"/>
    <w:rsid w:val="009B21F7"/>
    <w:rsid w:val="009F1054"/>
    <w:rsid w:val="009F7C13"/>
    <w:rsid w:val="00B77EF3"/>
    <w:rsid w:val="00B83D72"/>
    <w:rsid w:val="00D6785C"/>
    <w:rsid w:val="00E354F3"/>
    <w:rsid w:val="00EF146F"/>
    <w:rsid w:val="00F72A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E8994BE"/>
  <w15:chartTrackingRefBased/>
  <w15:docId w15:val="{B3D6606D-5CFA-44A2-9EB4-F31545E2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val="en-US" w:eastAsia="zh-CN" w:bidi="hi-IN"/>
    </w:rPr>
  </w:style>
  <w:style w:type="paragraph" w:styleId="Heading7">
    <w:name w:val="heading 7"/>
    <w:basedOn w:val="Normal"/>
    <w:next w:val="Normal"/>
    <w:qFormat/>
    <w:pPr>
      <w:keepNext/>
      <w:numPr>
        <w:numId w:val="2"/>
      </w:numPr>
      <w:jc w:val="center"/>
      <w:outlineLvl w:val="6"/>
    </w:pPr>
    <w:rPr>
      <w:rFonts w:cs="Arial"/>
      <w:b/>
      <w:bCs/>
      <w:i/>
      <w:iCs/>
      <w:sz w:val="28"/>
      <w:szCs w:val="28"/>
    </w:rPr>
  </w:style>
  <w:style w:type="paragraph" w:styleId="Heading8">
    <w:name w:val="heading 8"/>
    <w:basedOn w:val="Normal"/>
    <w:next w:val="Normal"/>
    <w:qFormat/>
    <w:pPr>
      <w:keepNext/>
      <w:numPr>
        <w:numId w:val="2"/>
      </w:numPr>
      <w:ind w:left="0" w:firstLine="708"/>
      <w:jc w:val="center"/>
      <w:outlineLvl w:val="7"/>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lenoteidesubsol">
    <w:name w:val="Caracterele notei de subsol"/>
    <w:rPr>
      <w:vertAlign w:val="superscript"/>
    </w:rPr>
  </w:style>
  <w:style w:type="character" w:styleId="PageNumber">
    <w:name w:val="page number"/>
    <w:basedOn w:val="Fontdeparagrafimplicit1"/>
  </w:style>
  <w:style w:type="character" w:styleId="Hyperlink">
    <w:name w:val="Hyperlink"/>
    <w:rPr>
      <w:color w:val="0000FF"/>
      <w:u w:val="single"/>
    </w:rPr>
  </w:style>
  <w:style w:type="character" w:customStyle="1" w:styleId="Fontdeparagrafimplicit1">
    <w:name w:val="Font de paragraf implicit1"/>
  </w:style>
  <w:style w:type="character" w:customStyle="1" w:styleId="Fontdeparagrafimplicit2">
    <w:name w:val="Font de paragraf implicit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Normal"/>
  </w:style>
  <w:style w:type="paragraph" w:customStyle="1" w:styleId="Coninutcadru">
    <w:name w:val="Conținut cadru"/>
    <w:basedOn w:val="Normal"/>
  </w:style>
  <w:style w:type="paragraph" w:styleId="BodyTextIndent">
    <w:name w:val="Body Text Indent"/>
    <w:basedOn w:val="Normal"/>
    <w:pPr>
      <w:spacing w:after="120"/>
      <w:ind w:left="283"/>
    </w:pPr>
  </w:style>
  <w:style w:type="paragraph" w:styleId="FootnoteText">
    <w:name w:val="footnote text"/>
    <w:basedOn w:val="Normal"/>
    <w:rPr>
      <w:rFonts w:ascii="Times New Roman" w:hAnsi="Times New Roman" w:cs="Times New Roman"/>
      <w:sz w:val="20"/>
      <w:szCs w:val="20"/>
    </w:rPr>
  </w:style>
  <w:style w:type="paragraph" w:styleId="Subtitle">
    <w:name w:val="Subtitle"/>
    <w:basedOn w:val="Normal"/>
    <w:next w:val="BodyText"/>
    <w:qFormat/>
    <w:pPr>
      <w:jc w:val="center"/>
    </w:pPr>
    <w:rPr>
      <w:rFonts w:ascii="Tahoma" w:hAnsi="Tahoma" w:cs="Tahoma"/>
      <w:sz w:val="36"/>
      <w:szCs w:val="20"/>
    </w:rPr>
  </w:style>
  <w:style w:type="paragraph" w:styleId="Footer">
    <w:name w:val="footer"/>
    <w:basedOn w:val="Normal"/>
    <w:pPr>
      <w:tabs>
        <w:tab w:val="center" w:pos="4320"/>
        <w:tab w:val="right" w:pos="8640"/>
      </w:tabs>
    </w:pPr>
  </w:style>
  <w:style w:type="paragraph" w:customStyle="1" w:styleId="Legend1">
    <w:name w:val="Legendă1"/>
    <w:basedOn w:val="Normal"/>
    <w:pPr>
      <w:suppressLineNumbers/>
      <w:spacing w:before="120" w:after="120"/>
    </w:pPr>
    <w:rPr>
      <w:i/>
      <w:iCs/>
    </w:rPr>
  </w:style>
  <w:style w:type="paragraph" w:customStyle="1" w:styleId="Stiltitlu">
    <w:name w:val="Stil titlu"/>
    <w:basedOn w:val="Normal"/>
    <w:next w:val="BodyText"/>
    <w:pPr>
      <w:jc w:val="center"/>
    </w:pPr>
    <w:rPr>
      <w:rFonts w:ascii="Helvetica" w:hAnsi="Helvetica" w:cs="Helvetica"/>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ppa.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2258</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MORECUT</dc:creator>
  <cp:keywords/>
  <cp:lastModifiedBy>Sandu Gherasim</cp:lastModifiedBy>
  <cp:revision>2</cp:revision>
  <cp:lastPrinted>1601-01-01T00:00:00Z</cp:lastPrinted>
  <dcterms:created xsi:type="dcterms:W3CDTF">2018-07-12T15:59:00Z</dcterms:created>
  <dcterms:modified xsi:type="dcterms:W3CDTF">2018-07-12T15:59:00Z</dcterms:modified>
</cp:coreProperties>
</file>