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BC0" w:rsidRPr="00FC2582" w:rsidRDefault="00CA67BE" w:rsidP="00725244">
      <w:pPr>
        <w:pStyle w:val="Bodytext30"/>
        <w:shd w:val="clear" w:color="auto" w:fill="auto"/>
        <w:spacing w:after="0" w:line="240" w:lineRule="auto"/>
        <w:rPr>
          <w:color w:val="auto"/>
        </w:rPr>
      </w:pPr>
      <w:r w:rsidRPr="00FC2582">
        <w:rPr>
          <w:color w:val="auto"/>
        </w:rPr>
        <w:t>UNIUNEA NAŢIONALĂ A BAROURILOR DIN ROMÂNIA</w:t>
      </w:r>
    </w:p>
    <w:p w:rsidR="007A1BC0" w:rsidRPr="00FC2582" w:rsidRDefault="00CA67BE" w:rsidP="00725244">
      <w:pPr>
        <w:pStyle w:val="Heading10"/>
        <w:shd w:val="clear" w:color="auto" w:fill="auto"/>
        <w:spacing w:before="0" w:after="0" w:line="240" w:lineRule="auto"/>
        <w:rPr>
          <w:color w:val="auto"/>
        </w:rPr>
      </w:pPr>
      <w:bookmarkStart w:id="0" w:name="bookmark0"/>
      <w:r w:rsidRPr="00FC2582">
        <w:rPr>
          <w:color w:val="auto"/>
        </w:rPr>
        <w:t>CONSILIUL UNBR</w:t>
      </w:r>
      <w:bookmarkEnd w:id="0"/>
    </w:p>
    <w:p w:rsidR="00CA67BE" w:rsidRPr="00FC2582" w:rsidRDefault="00CA67BE" w:rsidP="003A1DE8">
      <w:pPr>
        <w:pStyle w:val="Bodytext40"/>
        <w:shd w:val="clear" w:color="auto" w:fill="auto"/>
        <w:spacing w:before="0" w:after="0" w:line="240" w:lineRule="auto"/>
        <w:ind w:firstLine="720"/>
        <w:rPr>
          <w:color w:val="auto"/>
        </w:rPr>
      </w:pPr>
    </w:p>
    <w:p w:rsidR="00CA67BE" w:rsidRPr="00FC2582" w:rsidRDefault="00CA67BE" w:rsidP="003A1DE8">
      <w:pPr>
        <w:pStyle w:val="Bodytext40"/>
        <w:shd w:val="clear" w:color="auto" w:fill="auto"/>
        <w:spacing w:before="0" w:after="0" w:line="240" w:lineRule="auto"/>
        <w:ind w:firstLine="720"/>
        <w:rPr>
          <w:color w:val="auto"/>
        </w:rPr>
      </w:pPr>
    </w:p>
    <w:p w:rsidR="0056761D" w:rsidRDefault="00CA67BE" w:rsidP="003A1DE8">
      <w:pPr>
        <w:pStyle w:val="Bodytext40"/>
        <w:shd w:val="clear" w:color="auto" w:fill="auto"/>
        <w:spacing w:before="0" w:after="0" w:line="240" w:lineRule="auto"/>
        <w:ind w:firstLine="720"/>
        <w:rPr>
          <w:rFonts w:ascii="Georgia" w:hAnsi="Georgia"/>
          <w:color w:val="auto"/>
          <w:sz w:val="36"/>
          <w:szCs w:val="36"/>
        </w:rPr>
      </w:pPr>
      <w:r w:rsidRPr="0056761D">
        <w:rPr>
          <w:color w:val="auto"/>
          <w:sz w:val="36"/>
          <w:szCs w:val="36"/>
        </w:rPr>
        <w:t xml:space="preserve">HOTĂRÂREA nr. </w:t>
      </w:r>
      <w:r w:rsidR="004229DB" w:rsidRPr="0056761D">
        <w:rPr>
          <w:rFonts w:ascii="Georgia" w:hAnsi="Georgia"/>
          <w:color w:val="auto"/>
          <w:sz w:val="36"/>
          <w:szCs w:val="36"/>
        </w:rPr>
        <w:t>370</w:t>
      </w:r>
    </w:p>
    <w:p w:rsidR="007A1BC0" w:rsidRPr="0056761D" w:rsidRDefault="004229DB" w:rsidP="003A1DE8">
      <w:pPr>
        <w:pStyle w:val="Bodytext40"/>
        <w:shd w:val="clear" w:color="auto" w:fill="auto"/>
        <w:spacing w:before="0" w:after="0" w:line="240" w:lineRule="auto"/>
        <w:ind w:firstLine="720"/>
        <w:rPr>
          <w:color w:val="auto"/>
          <w:sz w:val="36"/>
          <w:szCs w:val="36"/>
        </w:rPr>
      </w:pPr>
      <w:r w:rsidRPr="0056761D">
        <w:rPr>
          <w:rFonts w:ascii="Georgia" w:hAnsi="Georgia"/>
          <w:color w:val="auto"/>
          <w:sz w:val="36"/>
          <w:szCs w:val="36"/>
        </w:rPr>
        <w:t>22 iunie</w:t>
      </w:r>
      <w:r w:rsidR="002B6957" w:rsidRPr="0056761D">
        <w:rPr>
          <w:rFonts w:ascii="Georgia" w:hAnsi="Georgia"/>
          <w:color w:val="auto"/>
          <w:sz w:val="36"/>
          <w:szCs w:val="36"/>
        </w:rPr>
        <w:t xml:space="preserve"> </w:t>
      </w:r>
      <w:r w:rsidR="00CA67BE" w:rsidRPr="0056761D">
        <w:rPr>
          <w:rFonts w:ascii="Georgia" w:hAnsi="Georgia"/>
          <w:color w:val="auto"/>
          <w:sz w:val="36"/>
          <w:szCs w:val="36"/>
        </w:rPr>
        <w:t>2018</w:t>
      </w:r>
    </w:p>
    <w:p w:rsidR="00CA67BE" w:rsidRPr="00FC2582" w:rsidRDefault="00CA67BE" w:rsidP="003A1DE8">
      <w:pPr>
        <w:pStyle w:val="Bodytext40"/>
        <w:shd w:val="clear" w:color="auto" w:fill="auto"/>
        <w:spacing w:before="0" w:after="0" w:line="240" w:lineRule="auto"/>
        <w:ind w:firstLine="720"/>
        <w:rPr>
          <w:color w:val="auto"/>
        </w:rPr>
      </w:pPr>
    </w:p>
    <w:p w:rsidR="00CA67BE" w:rsidRPr="00FC2582" w:rsidRDefault="00CA67BE" w:rsidP="003A1DE8">
      <w:pPr>
        <w:pStyle w:val="Bodytext40"/>
        <w:shd w:val="clear" w:color="auto" w:fill="auto"/>
        <w:spacing w:before="0" w:after="0" w:line="240" w:lineRule="auto"/>
        <w:ind w:firstLine="720"/>
        <w:rPr>
          <w:color w:val="auto"/>
        </w:rPr>
      </w:pPr>
    </w:p>
    <w:p w:rsidR="007A1BC0" w:rsidRPr="00FC2582" w:rsidRDefault="00CA67BE" w:rsidP="003A1DE8">
      <w:pPr>
        <w:pStyle w:val="Bodytext50"/>
        <w:shd w:val="clear" w:color="auto" w:fill="auto"/>
        <w:spacing w:before="0" w:line="240" w:lineRule="auto"/>
        <w:ind w:firstLine="720"/>
        <w:rPr>
          <w:color w:val="auto"/>
        </w:rPr>
      </w:pPr>
      <w:r w:rsidRPr="00FC2582">
        <w:rPr>
          <w:color w:val="auto"/>
        </w:rPr>
        <w:t xml:space="preserve">În baza prevederilor </w:t>
      </w:r>
      <w:r w:rsidRPr="00FC2582">
        <w:rPr>
          <w:color w:val="auto"/>
          <w:lang w:val="en-US" w:eastAsia="en-US" w:bidi="en-US"/>
        </w:rPr>
        <w:t xml:space="preserve">art. </w:t>
      </w:r>
      <w:r w:rsidRPr="00FC2582">
        <w:rPr>
          <w:color w:val="auto"/>
        </w:rPr>
        <w:t xml:space="preserve">66 </w:t>
      </w:r>
      <w:r w:rsidRPr="00FC2582">
        <w:rPr>
          <w:color w:val="auto"/>
          <w:lang w:val="en-US" w:eastAsia="en-US" w:bidi="en-US"/>
        </w:rPr>
        <w:t xml:space="preserve">lit. </w:t>
      </w:r>
      <w:r w:rsidRPr="00FC2582">
        <w:rPr>
          <w:color w:val="auto"/>
        </w:rPr>
        <w:t xml:space="preserve">f), g) şi s) din Legea nr. 51/1995, republicată, cu modificările şi completările ulterioare şi ale </w:t>
      </w:r>
      <w:r w:rsidRPr="00FC2582">
        <w:rPr>
          <w:color w:val="auto"/>
          <w:lang w:val="en-US" w:eastAsia="en-US" w:bidi="en-US"/>
        </w:rPr>
        <w:t xml:space="preserve">art. </w:t>
      </w:r>
      <w:r w:rsidRPr="00FC2582">
        <w:rPr>
          <w:color w:val="auto"/>
        </w:rPr>
        <w:t xml:space="preserve">312 alin. (1) </w:t>
      </w:r>
      <w:r w:rsidRPr="00FC2582">
        <w:rPr>
          <w:color w:val="auto"/>
          <w:lang w:eastAsia="en-US" w:bidi="en-US"/>
        </w:rPr>
        <w:t xml:space="preserve">lit. </w:t>
      </w:r>
      <w:r w:rsidRPr="00FC2582">
        <w:rPr>
          <w:color w:val="auto"/>
        </w:rPr>
        <w:t>b) din Statutul profesiei de avocat, publicat în Monitorul Oficial al României, Partea I, nr. 898/19 decembrie 2011,</w:t>
      </w:r>
    </w:p>
    <w:p w:rsidR="007A1BC0" w:rsidRPr="00FC2582" w:rsidRDefault="00CA67BE" w:rsidP="003A1DE8">
      <w:pPr>
        <w:pStyle w:val="Bodytext50"/>
        <w:shd w:val="clear" w:color="auto" w:fill="auto"/>
        <w:spacing w:before="0" w:line="240" w:lineRule="auto"/>
        <w:ind w:firstLine="720"/>
        <w:rPr>
          <w:color w:val="auto"/>
        </w:rPr>
      </w:pPr>
      <w:r w:rsidRPr="00FC2582">
        <w:rPr>
          <w:color w:val="auto"/>
        </w:rPr>
        <w:t>Ţinând cont de propunerea Consiliului de Conducere a Institutului Naţional pentru Pregătirea şi Perfecţ</w:t>
      </w:r>
      <w:r w:rsidR="002B6957" w:rsidRPr="00FC2582">
        <w:rPr>
          <w:color w:val="auto"/>
        </w:rPr>
        <w:t>ionarea Avocaţilor - I.N.P.P.A.</w:t>
      </w:r>
      <w:r w:rsidRPr="00FC2582">
        <w:rPr>
          <w:color w:val="auto"/>
        </w:rPr>
        <w:t xml:space="preserve">, conform </w:t>
      </w:r>
      <w:r w:rsidRPr="00FC2582">
        <w:rPr>
          <w:color w:val="auto"/>
          <w:lang w:eastAsia="en-US" w:bidi="en-US"/>
        </w:rPr>
        <w:t xml:space="preserve">art. </w:t>
      </w:r>
      <w:r w:rsidRPr="00FC2582">
        <w:rPr>
          <w:color w:val="auto"/>
        </w:rPr>
        <w:t xml:space="preserve">13 </w:t>
      </w:r>
      <w:r w:rsidRPr="00FC2582">
        <w:rPr>
          <w:color w:val="auto"/>
          <w:lang w:eastAsia="en-US" w:bidi="en-US"/>
        </w:rPr>
        <w:t xml:space="preserve">lit. </w:t>
      </w:r>
      <w:r w:rsidRPr="00FC2582">
        <w:rPr>
          <w:color w:val="auto"/>
        </w:rPr>
        <w:t>d) din Statutul INPPA, Consiliul Uniunii Naţionale a Barourilor din România, întrunit în şedinţa din 16 februarie 2018</w:t>
      </w:r>
    </w:p>
    <w:p w:rsidR="00CA67BE" w:rsidRDefault="00CA67BE" w:rsidP="003A1DE8">
      <w:pPr>
        <w:pStyle w:val="Bodytext50"/>
        <w:shd w:val="clear" w:color="auto" w:fill="auto"/>
        <w:spacing w:before="0" w:line="240" w:lineRule="auto"/>
        <w:ind w:firstLine="720"/>
        <w:rPr>
          <w:color w:val="auto"/>
        </w:rPr>
      </w:pPr>
    </w:p>
    <w:p w:rsidR="00FC2582" w:rsidRPr="00FC2582" w:rsidRDefault="00FC2582" w:rsidP="003A1DE8">
      <w:pPr>
        <w:pStyle w:val="Bodytext50"/>
        <w:shd w:val="clear" w:color="auto" w:fill="auto"/>
        <w:spacing w:before="0" w:line="240" w:lineRule="auto"/>
        <w:ind w:firstLine="720"/>
        <w:rPr>
          <w:color w:val="auto"/>
        </w:rPr>
      </w:pPr>
    </w:p>
    <w:p w:rsidR="00725244" w:rsidRPr="00FC2582" w:rsidRDefault="00725244" w:rsidP="003A1DE8">
      <w:pPr>
        <w:pStyle w:val="Bodytext50"/>
        <w:shd w:val="clear" w:color="auto" w:fill="auto"/>
        <w:spacing w:before="0" w:line="240" w:lineRule="auto"/>
        <w:ind w:firstLine="720"/>
        <w:rPr>
          <w:color w:val="auto"/>
        </w:rPr>
      </w:pPr>
    </w:p>
    <w:p w:rsidR="007A1BC0" w:rsidRDefault="00CA67BE" w:rsidP="003A1DE8">
      <w:pPr>
        <w:pStyle w:val="Bodytext40"/>
        <w:shd w:val="clear" w:color="auto" w:fill="auto"/>
        <w:spacing w:before="0" w:after="0" w:line="240" w:lineRule="auto"/>
        <w:ind w:firstLine="720"/>
        <w:rPr>
          <w:color w:val="auto"/>
        </w:rPr>
      </w:pPr>
      <w:r w:rsidRPr="00FC2582">
        <w:rPr>
          <w:color w:val="auto"/>
        </w:rPr>
        <w:t>H O T Ă R Ă Ş T E :</w:t>
      </w:r>
    </w:p>
    <w:p w:rsidR="00FC2582" w:rsidRPr="00FC2582" w:rsidRDefault="00FC2582" w:rsidP="003A1DE8">
      <w:pPr>
        <w:pStyle w:val="Bodytext40"/>
        <w:shd w:val="clear" w:color="auto" w:fill="auto"/>
        <w:spacing w:before="0" w:after="0" w:line="240" w:lineRule="auto"/>
        <w:ind w:firstLine="720"/>
        <w:rPr>
          <w:color w:val="auto"/>
        </w:rPr>
      </w:pPr>
    </w:p>
    <w:p w:rsidR="00725244" w:rsidRPr="00FC2582" w:rsidRDefault="00725244" w:rsidP="003A1DE8">
      <w:pPr>
        <w:pStyle w:val="Bodytext40"/>
        <w:shd w:val="clear" w:color="auto" w:fill="auto"/>
        <w:spacing w:before="0" w:after="0" w:line="240" w:lineRule="auto"/>
        <w:ind w:firstLine="720"/>
        <w:rPr>
          <w:color w:val="auto"/>
        </w:rPr>
      </w:pPr>
    </w:p>
    <w:p w:rsidR="00CA67BE" w:rsidRPr="00FC2582" w:rsidRDefault="00CA67BE" w:rsidP="003A1DE8">
      <w:pPr>
        <w:pStyle w:val="Bodytext40"/>
        <w:shd w:val="clear" w:color="auto" w:fill="auto"/>
        <w:spacing w:before="0" w:after="0" w:line="240" w:lineRule="auto"/>
        <w:ind w:firstLine="720"/>
        <w:rPr>
          <w:color w:val="auto"/>
        </w:rPr>
      </w:pPr>
    </w:p>
    <w:p w:rsidR="007A1BC0" w:rsidRPr="00FC2582" w:rsidRDefault="00CA67BE" w:rsidP="003A1DE8">
      <w:pPr>
        <w:pStyle w:val="Bodytext50"/>
        <w:shd w:val="clear" w:color="auto" w:fill="auto"/>
        <w:spacing w:before="0" w:line="240" w:lineRule="auto"/>
        <w:ind w:firstLine="720"/>
        <w:rPr>
          <w:color w:val="auto"/>
        </w:rPr>
      </w:pPr>
      <w:r w:rsidRPr="00FC2582">
        <w:rPr>
          <w:rStyle w:val="Bodytext5Bold"/>
          <w:color w:val="auto"/>
          <w:lang w:eastAsia="en-US" w:bidi="en-US"/>
        </w:rPr>
        <w:t xml:space="preserve">Art. </w:t>
      </w:r>
      <w:r w:rsidRPr="00FC2582">
        <w:rPr>
          <w:rStyle w:val="Bodytext5Bold"/>
          <w:color w:val="auto"/>
        </w:rPr>
        <w:t xml:space="preserve">1. - </w:t>
      </w:r>
      <w:r w:rsidRPr="00FC2582">
        <w:rPr>
          <w:color w:val="auto"/>
        </w:rPr>
        <w:t>Se aprobă Planul de învăţământ al Institutului Naţional pentru Pregătirea şi Perfecţionarea Avocaţilor</w:t>
      </w:r>
      <w:r w:rsidR="00550624">
        <w:rPr>
          <w:color w:val="auto"/>
        </w:rPr>
        <w:t xml:space="preserve"> corespunzător anului II de pregătire profesională inițială</w:t>
      </w:r>
      <w:r w:rsidRPr="00FC2582">
        <w:rPr>
          <w:color w:val="auto"/>
        </w:rPr>
        <w:t xml:space="preserve">, cuprins </w:t>
      </w:r>
      <w:r w:rsidRPr="00FC2582">
        <w:rPr>
          <w:rStyle w:val="Bodytext5Italic"/>
          <w:color w:val="auto"/>
        </w:rPr>
        <w:t>în Anexa la prezenta hotărâre.</w:t>
      </w:r>
    </w:p>
    <w:p w:rsidR="007A1BC0" w:rsidRPr="00FC2582" w:rsidRDefault="00CA67BE" w:rsidP="003A1DE8">
      <w:pPr>
        <w:pStyle w:val="Bodytext50"/>
        <w:shd w:val="clear" w:color="auto" w:fill="auto"/>
        <w:spacing w:before="0" w:line="240" w:lineRule="auto"/>
        <w:ind w:firstLine="720"/>
        <w:rPr>
          <w:color w:val="auto"/>
        </w:rPr>
      </w:pPr>
      <w:r w:rsidRPr="00FC2582">
        <w:rPr>
          <w:rStyle w:val="Bodytext5Bold"/>
          <w:color w:val="auto"/>
          <w:lang w:eastAsia="en-US" w:bidi="en-US"/>
        </w:rPr>
        <w:t xml:space="preserve">Art. </w:t>
      </w:r>
      <w:r w:rsidRPr="00FC2582">
        <w:rPr>
          <w:rStyle w:val="Bodytext5Bold"/>
          <w:color w:val="auto"/>
        </w:rPr>
        <w:t xml:space="preserve">2. </w:t>
      </w:r>
      <w:r w:rsidRPr="00FC2582">
        <w:rPr>
          <w:color w:val="auto"/>
        </w:rPr>
        <w:t xml:space="preserve">- </w:t>
      </w:r>
      <w:r w:rsidRPr="00FC2582">
        <w:rPr>
          <w:rStyle w:val="Bodytext5Bold"/>
          <w:color w:val="auto"/>
        </w:rPr>
        <w:t xml:space="preserve">(1) </w:t>
      </w:r>
      <w:r w:rsidRPr="00FC2582">
        <w:rPr>
          <w:color w:val="auto"/>
        </w:rPr>
        <w:t xml:space="preserve">Prezenta hotărâre va fi comunicată Institutului Naţional pentru Pregătirea şi Perfecţionarea Avocaţilor şi barourilor şi se va afişa pe site-ul I.N.P.P.A. - </w:t>
      </w:r>
      <w:hyperlink r:id="rId8" w:history="1">
        <w:r w:rsidRPr="00FC2582">
          <w:rPr>
            <w:rStyle w:val="Hyperlink"/>
            <w:color w:val="auto"/>
          </w:rPr>
          <w:t>www.inppa.ro</w:t>
        </w:r>
      </w:hyperlink>
    </w:p>
    <w:p w:rsidR="007A1BC0" w:rsidRPr="00FC2582" w:rsidRDefault="00CA67BE" w:rsidP="003A1DE8">
      <w:pPr>
        <w:pStyle w:val="Bodytext50"/>
        <w:shd w:val="clear" w:color="auto" w:fill="auto"/>
        <w:spacing w:before="0" w:line="240" w:lineRule="auto"/>
        <w:ind w:firstLine="720"/>
        <w:rPr>
          <w:color w:val="auto"/>
        </w:rPr>
      </w:pPr>
      <w:r w:rsidRPr="00FC2582">
        <w:rPr>
          <w:rStyle w:val="Bodytext5Bold"/>
          <w:color w:val="auto"/>
        </w:rPr>
        <w:t xml:space="preserve">(2) </w:t>
      </w:r>
      <w:r w:rsidRPr="00FC2582">
        <w:rPr>
          <w:color w:val="auto"/>
        </w:rPr>
        <w:t>Institutul Naţional pentru Pregătirea şi Perfecţionarea Avocaţilor va proceda la transmiterea hotărârii către centrele teritoriale ale acestuia.</w:t>
      </w:r>
    </w:p>
    <w:p w:rsidR="00CA67BE" w:rsidRPr="00FC2582" w:rsidRDefault="00CA67BE" w:rsidP="003A1DE8">
      <w:pPr>
        <w:pStyle w:val="Bodytext60"/>
        <w:shd w:val="clear" w:color="auto" w:fill="auto"/>
        <w:spacing w:before="0" w:line="240" w:lineRule="auto"/>
        <w:ind w:firstLine="720"/>
        <w:rPr>
          <w:color w:val="auto"/>
        </w:rPr>
      </w:pPr>
    </w:p>
    <w:p w:rsidR="00CA67BE" w:rsidRPr="00FC2582" w:rsidRDefault="00CA67BE" w:rsidP="003A1DE8">
      <w:pPr>
        <w:pStyle w:val="Bodytext60"/>
        <w:shd w:val="clear" w:color="auto" w:fill="auto"/>
        <w:spacing w:before="0" w:line="240" w:lineRule="auto"/>
        <w:ind w:firstLine="720"/>
        <w:rPr>
          <w:color w:val="auto"/>
        </w:rPr>
      </w:pPr>
    </w:p>
    <w:p w:rsidR="00CA67BE" w:rsidRDefault="00CA67BE" w:rsidP="003A1DE8">
      <w:pPr>
        <w:pStyle w:val="Bodytext60"/>
        <w:shd w:val="clear" w:color="auto" w:fill="auto"/>
        <w:spacing w:before="0" w:line="240" w:lineRule="auto"/>
        <w:ind w:firstLine="720"/>
        <w:rPr>
          <w:color w:val="auto"/>
        </w:rPr>
      </w:pPr>
    </w:p>
    <w:p w:rsidR="00FC2582" w:rsidRDefault="00FC2582" w:rsidP="003A1DE8">
      <w:pPr>
        <w:pStyle w:val="Bodytext60"/>
        <w:shd w:val="clear" w:color="auto" w:fill="auto"/>
        <w:spacing w:before="0" w:line="240" w:lineRule="auto"/>
        <w:ind w:firstLine="720"/>
        <w:rPr>
          <w:color w:val="auto"/>
        </w:rPr>
      </w:pPr>
    </w:p>
    <w:p w:rsidR="00FC2582" w:rsidRPr="00FC2582" w:rsidRDefault="00FC2582" w:rsidP="003A1DE8">
      <w:pPr>
        <w:pStyle w:val="Bodytext60"/>
        <w:shd w:val="clear" w:color="auto" w:fill="auto"/>
        <w:spacing w:before="0" w:line="240" w:lineRule="auto"/>
        <w:ind w:firstLine="720"/>
        <w:rPr>
          <w:color w:val="auto"/>
        </w:rPr>
      </w:pPr>
    </w:p>
    <w:p w:rsidR="007A1BC0" w:rsidRDefault="007A1BC0" w:rsidP="003A1DE8">
      <w:pPr>
        <w:pStyle w:val="Bodytext60"/>
        <w:shd w:val="clear" w:color="auto" w:fill="auto"/>
        <w:spacing w:before="0" w:line="240" w:lineRule="auto"/>
        <w:ind w:firstLine="720"/>
        <w:rPr>
          <w:color w:val="auto"/>
        </w:rPr>
      </w:pPr>
    </w:p>
    <w:p w:rsidR="00FC2582" w:rsidRDefault="00FC2582" w:rsidP="003A1DE8">
      <w:pPr>
        <w:pStyle w:val="Bodytext60"/>
        <w:shd w:val="clear" w:color="auto" w:fill="auto"/>
        <w:spacing w:before="0" w:line="240" w:lineRule="auto"/>
        <w:ind w:firstLine="720"/>
        <w:rPr>
          <w:color w:val="auto"/>
        </w:rPr>
      </w:pPr>
    </w:p>
    <w:p w:rsidR="00FC2582" w:rsidRPr="00FC2582" w:rsidRDefault="009663AC" w:rsidP="003A1DE8">
      <w:pPr>
        <w:pStyle w:val="Bodytext60"/>
        <w:shd w:val="clear" w:color="auto" w:fill="auto"/>
        <w:spacing w:before="0" w:line="240" w:lineRule="auto"/>
        <w:ind w:firstLine="720"/>
        <w:rPr>
          <w:color w:val="auto"/>
        </w:rPr>
      </w:pPr>
      <w:r>
        <w:rPr>
          <w:color w:val="auto"/>
        </w:rPr>
        <w:t>CONSILIUL</w:t>
      </w:r>
      <w:r w:rsidR="00FC2582">
        <w:rPr>
          <w:color w:val="auto"/>
        </w:rPr>
        <w:t xml:space="preserve"> U.N.B.R.</w:t>
      </w:r>
    </w:p>
    <w:p w:rsidR="00CA67BE" w:rsidRPr="00FC2582" w:rsidRDefault="00CA67BE" w:rsidP="003A1DE8">
      <w:pPr>
        <w:pStyle w:val="Bodytext70"/>
        <w:shd w:val="clear" w:color="auto" w:fill="auto"/>
        <w:spacing w:after="0" w:line="240" w:lineRule="auto"/>
        <w:ind w:firstLine="720"/>
        <w:rPr>
          <w:color w:val="auto"/>
        </w:rPr>
      </w:pPr>
    </w:p>
    <w:p w:rsidR="00CA67BE" w:rsidRDefault="00CA67BE" w:rsidP="003A1DE8">
      <w:pPr>
        <w:pStyle w:val="Bodytext70"/>
        <w:shd w:val="clear" w:color="auto" w:fill="auto"/>
        <w:spacing w:after="0" w:line="240" w:lineRule="auto"/>
        <w:ind w:firstLine="720"/>
        <w:rPr>
          <w:color w:val="auto"/>
        </w:rPr>
      </w:pPr>
    </w:p>
    <w:p w:rsidR="00FC2582" w:rsidRDefault="00FC2582" w:rsidP="003A1DE8">
      <w:pPr>
        <w:pStyle w:val="Bodytext70"/>
        <w:shd w:val="clear" w:color="auto" w:fill="auto"/>
        <w:spacing w:after="0" w:line="240" w:lineRule="auto"/>
        <w:ind w:firstLine="720"/>
        <w:rPr>
          <w:color w:val="auto"/>
        </w:rPr>
      </w:pPr>
    </w:p>
    <w:p w:rsidR="00FC2582" w:rsidRPr="00FC2582" w:rsidRDefault="00FC2582" w:rsidP="003A1DE8">
      <w:pPr>
        <w:pStyle w:val="Bodytext70"/>
        <w:shd w:val="clear" w:color="auto" w:fill="auto"/>
        <w:spacing w:after="0" w:line="240" w:lineRule="auto"/>
        <w:ind w:firstLine="720"/>
        <w:rPr>
          <w:color w:val="auto"/>
        </w:rPr>
      </w:pPr>
    </w:p>
    <w:p w:rsidR="00CA67BE" w:rsidRPr="00FC2582" w:rsidRDefault="00CA67BE" w:rsidP="003A1DE8">
      <w:pPr>
        <w:pStyle w:val="Bodytext70"/>
        <w:shd w:val="clear" w:color="auto" w:fill="auto"/>
        <w:spacing w:after="0" w:line="240" w:lineRule="auto"/>
        <w:ind w:firstLine="720"/>
        <w:rPr>
          <w:color w:val="auto"/>
        </w:rPr>
      </w:pPr>
    </w:p>
    <w:p w:rsidR="003A1DE8" w:rsidRPr="00FC2582" w:rsidRDefault="003A1DE8" w:rsidP="003A1DE8">
      <w:pPr>
        <w:pStyle w:val="Bodytext70"/>
        <w:shd w:val="clear" w:color="auto" w:fill="auto"/>
        <w:spacing w:after="0" w:line="240" w:lineRule="auto"/>
        <w:ind w:firstLine="720"/>
        <w:rPr>
          <w:color w:val="auto"/>
        </w:rPr>
      </w:pPr>
    </w:p>
    <w:p w:rsidR="003A1DE8" w:rsidRPr="00FC2582" w:rsidRDefault="003A1DE8" w:rsidP="003A1DE8">
      <w:pPr>
        <w:pStyle w:val="Bodytext70"/>
        <w:shd w:val="clear" w:color="auto" w:fill="auto"/>
        <w:spacing w:after="0" w:line="240" w:lineRule="auto"/>
        <w:ind w:firstLine="720"/>
        <w:rPr>
          <w:color w:val="auto"/>
        </w:rPr>
      </w:pPr>
    </w:p>
    <w:p w:rsidR="003A1DE8" w:rsidRPr="00FC2582" w:rsidRDefault="003A1DE8" w:rsidP="003A1DE8">
      <w:pPr>
        <w:pStyle w:val="Bodytext70"/>
        <w:shd w:val="clear" w:color="auto" w:fill="auto"/>
        <w:spacing w:after="0" w:line="240" w:lineRule="auto"/>
        <w:ind w:firstLine="720"/>
        <w:rPr>
          <w:color w:val="auto"/>
        </w:rPr>
      </w:pPr>
    </w:p>
    <w:p w:rsidR="007A1BC0" w:rsidRPr="00FC2582" w:rsidRDefault="00CA67BE" w:rsidP="003A1DE8">
      <w:pPr>
        <w:pStyle w:val="Bodytext70"/>
        <w:shd w:val="clear" w:color="auto" w:fill="auto"/>
        <w:spacing w:after="0" w:line="240" w:lineRule="auto"/>
        <w:ind w:firstLine="0"/>
        <w:rPr>
          <w:color w:val="auto"/>
        </w:rPr>
      </w:pPr>
      <w:r w:rsidRPr="00FC2582">
        <w:rPr>
          <w:color w:val="auto"/>
        </w:rPr>
        <w:t xml:space="preserve">Anexă la Hotărârea nr. </w:t>
      </w:r>
      <w:r w:rsidR="004229DB" w:rsidRPr="00FC2582">
        <w:rPr>
          <w:color w:val="auto"/>
        </w:rPr>
        <w:t>370</w:t>
      </w:r>
      <w:r w:rsidRPr="00FC2582">
        <w:rPr>
          <w:color w:val="auto"/>
        </w:rPr>
        <w:t xml:space="preserve"> a Consiliului U.N.B.R. din </w:t>
      </w:r>
      <w:r w:rsidR="004229DB" w:rsidRPr="00FC2582">
        <w:rPr>
          <w:color w:val="auto"/>
        </w:rPr>
        <w:t>22 iunie</w:t>
      </w:r>
      <w:r w:rsidRPr="00FC2582">
        <w:rPr>
          <w:color w:val="auto"/>
        </w:rPr>
        <w:t xml:space="preserve"> 2018</w:t>
      </w:r>
    </w:p>
    <w:p w:rsidR="00CA67BE" w:rsidRPr="00FC2582" w:rsidRDefault="00CA67BE" w:rsidP="003A1DE8">
      <w:pPr>
        <w:pStyle w:val="Bodytext70"/>
        <w:shd w:val="clear" w:color="auto" w:fill="auto"/>
        <w:spacing w:after="0" w:line="240" w:lineRule="auto"/>
        <w:ind w:firstLine="720"/>
        <w:rPr>
          <w:color w:val="auto"/>
        </w:rPr>
      </w:pPr>
    </w:p>
    <w:p w:rsidR="007A1BC0" w:rsidRPr="00FC2582" w:rsidRDefault="00CA67BE" w:rsidP="003A1DE8">
      <w:pPr>
        <w:pStyle w:val="Heading20"/>
        <w:shd w:val="clear" w:color="auto" w:fill="auto"/>
        <w:spacing w:before="0" w:after="0" w:line="240" w:lineRule="auto"/>
        <w:ind w:firstLine="720"/>
        <w:rPr>
          <w:color w:val="auto"/>
        </w:rPr>
      </w:pPr>
      <w:bookmarkStart w:id="1" w:name="bookmark1"/>
      <w:r w:rsidRPr="00FC2582">
        <w:rPr>
          <w:color w:val="auto"/>
        </w:rPr>
        <w:t>PLANUL DE ÎNVĂŢĂMÂNT</w:t>
      </w:r>
      <w:bookmarkEnd w:id="1"/>
    </w:p>
    <w:p w:rsidR="007A1BC0" w:rsidRPr="00FC2582" w:rsidRDefault="00CA67BE" w:rsidP="003A1DE8">
      <w:pPr>
        <w:pStyle w:val="Bodytext80"/>
        <w:shd w:val="clear" w:color="auto" w:fill="auto"/>
        <w:spacing w:before="0" w:after="0" w:line="240" w:lineRule="auto"/>
        <w:ind w:firstLine="720"/>
        <w:rPr>
          <w:color w:val="auto"/>
        </w:rPr>
      </w:pPr>
      <w:r w:rsidRPr="00FC2582">
        <w:rPr>
          <w:color w:val="auto"/>
        </w:rPr>
        <w:t>al Institutului Naţional pentru Pregătirea şi Perfecţionarea Avocaţilor - INPPA</w:t>
      </w:r>
    </w:p>
    <w:p w:rsidR="003A1DE8" w:rsidRPr="00FC2582" w:rsidRDefault="003A1DE8" w:rsidP="003A1DE8">
      <w:pPr>
        <w:pStyle w:val="Heading20"/>
        <w:shd w:val="clear" w:color="auto" w:fill="auto"/>
        <w:spacing w:before="0" w:after="0" w:line="240" w:lineRule="auto"/>
        <w:ind w:firstLine="720"/>
        <w:rPr>
          <w:color w:val="auto"/>
        </w:rPr>
      </w:pPr>
      <w:bookmarkStart w:id="2" w:name="bookmark2"/>
    </w:p>
    <w:p w:rsidR="003A1DE8" w:rsidRPr="00FC2582" w:rsidRDefault="003A1DE8" w:rsidP="003A1DE8">
      <w:pPr>
        <w:pStyle w:val="Heading20"/>
        <w:shd w:val="clear" w:color="auto" w:fill="auto"/>
        <w:spacing w:before="0" w:after="0" w:line="240" w:lineRule="auto"/>
        <w:ind w:firstLine="720"/>
        <w:rPr>
          <w:color w:val="auto"/>
        </w:rPr>
      </w:pPr>
    </w:p>
    <w:p w:rsidR="007A1BC0" w:rsidRPr="00FC2582" w:rsidRDefault="00CA67BE" w:rsidP="003A1DE8">
      <w:pPr>
        <w:pStyle w:val="Heading20"/>
        <w:shd w:val="clear" w:color="auto" w:fill="auto"/>
        <w:spacing w:before="0" w:after="0" w:line="240" w:lineRule="auto"/>
        <w:ind w:firstLine="720"/>
        <w:rPr>
          <w:color w:val="auto"/>
        </w:rPr>
      </w:pPr>
      <w:r w:rsidRPr="00FC2582">
        <w:rPr>
          <w:color w:val="auto"/>
        </w:rPr>
        <w:t>Pregătirea iniţială</w:t>
      </w:r>
      <w:bookmarkEnd w:id="2"/>
    </w:p>
    <w:p w:rsidR="003A1DE8" w:rsidRPr="00FC2582" w:rsidRDefault="003A1DE8" w:rsidP="003A1DE8">
      <w:pPr>
        <w:pStyle w:val="Heading20"/>
        <w:shd w:val="clear" w:color="auto" w:fill="auto"/>
        <w:spacing w:before="0" w:after="0" w:line="240" w:lineRule="auto"/>
        <w:ind w:firstLine="720"/>
        <w:rPr>
          <w:color w:val="auto"/>
        </w:rPr>
      </w:pP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 xml:space="preserve">Pentru aplicarea întocmai a dispoziţiilor </w:t>
      </w:r>
      <w:r w:rsidRPr="00FC2582">
        <w:rPr>
          <w:color w:val="auto"/>
          <w:lang w:val="en-US" w:eastAsia="en-US" w:bidi="en-US"/>
        </w:rPr>
        <w:t xml:space="preserve">art. </w:t>
      </w:r>
      <w:r w:rsidRPr="00FC2582">
        <w:rPr>
          <w:color w:val="auto"/>
        </w:rPr>
        <w:t xml:space="preserve">18 alin. (1) - (3), </w:t>
      </w:r>
      <w:r w:rsidRPr="00FC2582">
        <w:rPr>
          <w:color w:val="auto"/>
          <w:lang w:val="en-US" w:eastAsia="en-US" w:bidi="en-US"/>
        </w:rPr>
        <w:t xml:space="preserve">art. </w:t>
      </w:r>
      <w:r w:rsidRPr="00FC2582">
        <w:rPr>
          <w:color w:val="auto"/>
        </w:rPr>
        <w:t xml:space="preserve">20 alin. (1), </w:t>
      </w:r>
      <w:r w:rsidRPr="00FC2582">
        <w:rPr>
          <w:color w:val="auto"/>
          <w:lang w:val="en-US" w:eastAsia="en-US" w:bidi="en-US"/>
        </w:rPr>
        <w:t xml:space="preserve">art. </w:t>
      </w:r>
      <w:r w:rsidRPr="00FC2582">
        <w:rPr>
          <w:color w:val="auto"/>
        </w:rPr>
        <w:t xml:space="preserve">23 alin. (2) din Legea nr. 51/1995 pentru organizarea şi exercitarea profesiei de avocat, republicată în </w:t>
      </w:r>
      <w:r w:rsidR="00550624" w:rsidRPr="00550624">
        <w:rPr>
          <w:color w:val="auto"/>
        </w:rPr>
        <w:t>Monitorul Oficial, Partea I nr. 440 din 24 mai 2018</w:t>
      </w:r>
      <w:r w:rsidRPr="00FC2582">
        <w:rPr>
          <w:color w:val="auto"/>
        </w:rPr>
        <w:t>,</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 xml:space="preserve">Pentru respectarea întocmai </w:t>
      </w:r>
      <w:r w:rsidRPr="00FC2582">
        <w:rPr>
          <w:color w:val="auto"/>
          <w:lang w:eastAsia="en-US" w:bidi="en-US"/>
        </w:rPr>
        <w:t xml:space="preserve">a art. </w:t>
      </w:r>
      <w:r w:rsidRPr="00FC2582">
        <w:rPr>
          <w:color w:val="auto"/>
        </w:rPr>
        <w:t>64 alin (2) din Legea nr. 51/1995 pentru organizarea şi exercitarea profesiei de avocat şi aducerea la îndeplinire a hotărârilor Congresului avocaţilor privind perfecţionarea pregătirii profesionale a avocaţilor,</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 xml:space="preserve">s-a procedat la elaborarea </w:t>
      </w:r>
      <w:r w:rsidRPr="00FC2582">
        <w:rPr>
          <w:rStyle w:val="Bodytext2Italic"/>
          <w:color w:val="auto"/>
        </w:rPr>
        <w:t>Planului de învăţământ al INPPA</w:t>
      </w:r>
      <w:r w:rsidRPr="00FC2582">
        <w:rPr>
          <w:rStyle w:val="Bodytext2Italic"/>
          <w:i w:val="0"/>
          <w:color w:val="auto"/>
        </w:rPr>
        <w:t xml:space="preserve"> pentru activitățile tutoriale desfășurate</w:t>
      </w:r>
      <w:r w:rsidR="00550624">
        <w:rPr>
          <w:rStyle w:val="Bodytext2Italic"/>
          <w:i w:val="0"/>
          <w:color w:val="auto"/>
        </w:rPr>
        <w:t xml:space="preserve"> în cadrul anului II de pregătire</w:t>
      </w:r>
      <w:r w:rsidRPr="00FC2582">
        <w:rPr>
          <w:rStyle w:val="Bodytext2Italic"/>
          <w:i w:val="0"/>
          <w:color w:val="auto"/>
        </w:rPr>
        <w:t xml:space="preserve"> profesională inițială</w:t>
      </w:r>
      <w:r w:rsidRPr="00FC2582">
        <w:rPr>
          <w:color w:val="auto"/>
        </w:rPr>
        <w:t>.</w:t>
      </w:r>
    </w:p>
    <w:p w:rsidR="00550624" w:rsidRDefault="00550624" w:rsidP="003A1DE8">
      <w:pPr>
        <w:pStyle w:val="Heading20"/>
        <w:shd w:val="clear" w:color="auto" w:fill="auto"/>
        <w:spacing w:before="0" w:after="0" w:line="240" w:lineRule="auto"/>
        <w:ind w:firstLine="720"/>
        <w:jc w:val="both"/>
        <w:rPr>
          <w:i/>
          <w:color w:val="auto"/>
        </w:rPr>
      </w:pPr>
      <w:bookmarkStart w:id="3" w:name="bookmark3"/>
    </w:p>
    <w:p w:rsidR="007A1BC0" w:rsidRPr="00FC2582" w:rsidRDefault="00CA67BE" w:rsidP="003A1DE8">
      <w:pPr>
        <w:pStyle w:val="Heading20"/>
        <w:shd w:val="clear" w:color="auto" w:fill="auto"/>
        <w:spacing w:before="0" w:after="0" w:line="240" w:lineRule="auto"/>
        <w:ind w:firstLine="720"/>
        <w:jc w:val="both"/>
        <w:rPr>
          <w:i/>
          <w:color w:val="auto"/>
        </w:rPr>
      </w:pPr>
      <w:r w:rsidRPr="00FC2582">
        <w:rPr>
          <w:i/>
          <w:color w:val="auto"/>
        </w:rPr>
        <w:t>Obiective generale:</w:t>
      </w:r>
      <w:bookmarkEnd w:id="3"/>
    </w:p>
    <w:p w:rsidR="007A1BC0" w:rsidRPr="00FC2582" w:rsidRDefault="00CA67BE" w:rsidP="008610EC">
      <w:pPr>
        <w:pStyle w:val="Bodytext20"/>
        <w:numPr>
          <w:ilvl w:val="0"/>
          <w:numId w:val="25"/>
        </w:numPr>
        <w:shd w:val="clear" w:color="auto" w:fill="auto"/>
        <w:tabs>
          <w:tab w:val="left" w:pos="-4320"/>
          <w:tab w:val="left" w:pos="990"/>
        </w:tabs>
        <w:spacing w:before="0" w:after="0" w:line="240" w:lineRule="auto"/>
        <w:ind w:left="0" w:firstLine="720"/>
        <w:rPr>
          <w:color w:val="auto"/>
        </w:rPr>
      </w:pPr>
      <w:r w:rsidRPr="00FC2582">
        <w:rPr>
          <w:color w:val="auto"/>
        </w:rPr>
        <w:t xml:space="preserve">aplicarea efectivă începând cu anul 2012 a dispoziţiilor </w:t>
      </w:r>
      <w:r w:rsidRPr="00FC2582">
        <w:rPr>
          <w:color w:val="auto"/>
          <w:lang w:val="en-US" w:eastAsia="en-US" w:bidi="en-US"/>
        </w:rPr>
        <w:t xml:space="preserve">art. </w:t>
      </w:r>
      <w:r w:rsidRPr="00FC2582">
        <w:rPr>
          <w:color w:val="auto"/>
        </w:rPr>
        <w:t xml:space="preserve">18 alin. (3) şi </w:t>
      </w:r>
      <w:r w:rsidRPr="00FC2582">
        <w:rPr>
          <w:color w:val="auto"/>
          <w:lang w:eastAsia="en-US" w:bidi="en-US"/>
        </w:rPr>
        <w:t xml:space="preserve">art. </w:t>
      </w:r>
      <w:r w:rsidRPr="00FC2582">
        <w:rPr>
          <w:color w:val="auto"/>
        </w:rPr>
        <w:t>23 alin. (2) din Legea nr. 51/1995 pentru organizarea şi exercitarea profesiei de avocat, prin conlucrarea cu facultăţile de drept agreate de Uniunea Naţională a Barourilor din România (UNBR) şi menţinerea posibilităţii ca în anul I de stagiu să se frecventeze cursuri de masterat - cu acordul avocatului îndrumător - la facultăţile de drept agreate de UNBR, formă de pregătire profesională iniţială prin aprofundare teoretică a unor domenii de specialitate, recunoscută în profesie.</w:t>
      </w:r>
    </w:p>
    <w:p w:rsidR="007A1BC0" w:rsidRPr="00FC2582" w:rsidRDefault="00CA67BE" w:rsidP="008610EC">
      <w:pPr>
        <w:pStyle w:val="Bodytext20"/>
        <w:numPr>
          <w:ilvl w:val="0"/>
          <w:numId w:val="25"/>
        </w:numPr>
        <w:shd w:val="clear" w:color="auto" w:fill="auto"/>
        <w:tabs>
          <w:tab w:val="left" w:pos="-4320"/>
          <w:tab w:val="left" w:pos="990"/>
        </w:tabs>
        <w:spacing w:before="0" w:after="0" w:line="240" w:lineRule="auto"/>
        <w:ind w:left="0" w:firstLine="720"/>
        <w:rPr>
          <w:color w:val="auto"/>
        </w:rPr>
      </w:pPr>
      <w:r w:rsidRPr="00FC2582">
        <w:rPr>
          <w:color w:val="auto"/>
        </w:rPr>
        <w:t xml:space="preserve">extinderea pregătirii profesionale iniţiale şi la anul I de stagiu, prin elemente de cunoaştere a eticii şi organizării profesiei de avocat, precum şi discipline </w:t>
      </w:r>
      <w:r w:rsidRPr="00FC2582">
        <w:rPr>
          <w:color w:val="auto"/>
          <w:lang w:eastAsia="en-US" w:bidi="en-US"/>
        </w:rPr>
        <w:t xml:space="preserve">care </w:t>
      </w:r>
      <w:r w:rsidRPr="00FC2582">
        <w:rPr>
          <w:color w:val="auto"/>
        </w:rPr>
        <w:t>aduc informaţii utile sau dezvoltă abilităţi necesare profesiei (organizarea instanţelor şi parchetelor; argumentare juridică; metodologia actului juridic şi judiciar);</w:t>
      </w:r>
    </w:p>
    <w:p w:rsidR="00CA67BE" w:rsidRPr="00FC2582" w:rsidRDefault="00CA67BE" w:rsidP="008610EC">
      <w:pPr>
        <w:pStyle w:val="Bodytext20"/>
        <w:numPr>
          <w:ilvl w:val="0"/>
          <w:numId w:val="25"/>
        </w:numPr>
        <w:shd w:val="clear" w:color="auto" w:fill="auto"/>
        <w:tabs>
          <w:tab w:val="left" w:pos="-4320"/>
          <w:tab w:val="left" w:pos="990"/>
        </w:tabs>
        <w:spacing w:before="0" w:after="0" w:line="240" w:lineRule="auto"/>
        <w:ind w:left="0" w:firstLine="720"/>
        <w:rPr>
          <w:color w:val="auto"/>
        </w:rPr>
      </w:pPr>
      <w:r w:rsidRPr="00FC2582">
        <w:rPr>
          <w:color w:val="auto"/>
        </w:rPr>
        <w:t xml:space="preserve">schimbarea metodei de pregătire profesională iniţială: comasarea activităților tutoriale la disciplinele </w:t>
      </w:r>
      <w:r w:rsidRPr="00FC2582">
        <w:rPr>
          <w:i/>
          <w:color w:val="auto"/>
        </w:rPr>
        <w:t xml:space="preserve">drept civil </w:t>
      </w:r>
      <w:r w:rsidRPr="00FC2582">
        <w:rPr>
          <w:color w:val="auto"/>
        </w:rPr>
        <w:t xml:space="preserve">și </w:t>
      </w:r>
      <w:r w:rsidRPr="00FC2582">
        <w:rPr>
          <w:i/>
          <w:color w:val="auto"/>
        </w:rPr>
        <w:t>drept procesual civil</w:t>
      </w:r>
      <w:r w:rsidRPr="00FC2582">
        <w:rPr>
          <w:color w:val="auto"/>
        </w:rPr>
        <w:t xml:space="preserve"> precum și la </w:t>
      </w:r>
      <w:r w:rsidRPr="00FC2582">
        <w:rPr>
          <w:i/>
          <w:color w:val="auto"/>
        </w:rPr>
        <w:t xml:space="preserve">drept penal </w:t>
      </w:r>
      <w:r w:rsidRPr="00FC2582">
        <w:rPr>
          <w:color w:val="auto"/>
        </w:rPr>
        <w:t xml:space="preserve">și </w:t>
      </w:r>
      <w:r w:rsidRPr="00FC2582">
        <w:rPr>
          <w:i/>
          <w:color w:val="auto"/>
        </w:rPr>
        <w:t>drept procesual penal</w:t>
      </w:r>
      <w:r w:rsidRPr="00FC2582">
        <w:rPr>
          <w:color w:val="auto"/>
        </w:rPr>
        <w:t xml:space="preserve"> și reducerea în ansamblu a timpului efectiv petrecut de cursanţi la sediul INPPA, aceasta contribuind la o mai bună valorificare a timpului acestora în folosul formelor de exercitare a profesiei în care îşi desfăşoară activitatea. Reducerea numărului de discipline din carul modulului de </w:t>
      </w:r>
      <w:r w:rsidRPr="00FC2582">
        <w:rPr>
          <w:i/>
          <w:color w:val="auto"/>
        </w:rPr>
        <w:t>drept european</w:t>
      </w:r>
      <w:r w:rsidRPr="00FC2582">
        <w:rPr>
          <w:color w:val="auto"/>
        </w:rPr>
        <w:t>, cu posibilitatea acordată avocaților stagiari de a opta pentru 2 din cele 3 discipline;</w:t>
      </w:r>
    </w:p>
    <w:p w:rsidR="007A1BC0" w:rsidRPr="00FC2582" w:rsidRDefault="00CA67BE" w:rsidP="008610EC">
      <w:pPr>
        <w:pStyle w:val="Bodytext20"/>
        <w:numPr>
          <w:ilvl w:val="0"/>
          <w:numId w:val="25"/>
        </w:numPr>
        <w:shd w:val="clear" w:color="auto" w:fill="auto"/>
        <w:tabs>
          <w:tab w:val="left" w:pos="-4320"/>
          <w:tab w:val="left" w:pos="990"/>
        </w:tabs>
        <w:spacing w:before="0" w:after="0" w:line="240" w:lineRule="auto"/>
        <w:ind w:left="0" w:firstLine="720"/>
        <w:rPr>
          <w:color w:val="auto"/>
        </w:rPr>
      </w:pPr>
      <w:r w:rsidRPr="00FC2582">
        <w:rPr>
          <w:color w:val="auto"/>
        </w:rPr>
        <w:t xml:space="preserve">înlocuirea cursurilor şi atelierelor care tind să epuizeze informaţiile prin prelegeri şi dezbateri, cu activităţile tutoriale în care formatorul INPPA trasează numai liniile principale ale pregătirii, informează asupra noutăţilor în materie, răspunde la unele probleme ridicate de cursanţi sau prezintă un caz practic din </w:t>
      </w:r>
      <w:r w:rsidRPr="00FC2582">
        <w:rPr>
          <w:color w:val="auto"/>
          <w:lang w:eastAsia="en-US" w:bidi="en-US"/>
        </w:rPr>
        <w:t xml:space="preserve">care </w:t>
      </w:r>
      <w:r w:rsidRPr="00FC2582">
        <w:rPr>
          <w:color w:val="auto"/>
        </w:rPr>
        <w:t>cursanţii să înţeleagă metoda utilizată pentru rezolvarea acestuia precum şi modul în care trebuie să efectueze lucrările profesionale;</w:t>
      </w:r>
    </w:p>
    <w:p w:rsidR="007A1BC0" w:rsidRPr="00FC2582" w:rsidRDefault="00CA67BE" w:rsidP="008610EC">
      <w:pPr>
        <w:pStyle w:val="Bodytext20"/>
        <w:numPr>
          <w:ilvl w:val="0"/>
          <w:numId w:val="25"/>
        </w:numPr>
        <w:shd w:val="clear" w:color="auto" w:fill="auto"/>
        <w:tabs>
          <w:tab w:val="left" w:pos="-4320"/>
          <w:tab w:val="left" w:pos="990"/>
        </w:tabs>
        <w:spacing w:before="0" w:after="0" w:line="240" w:lineRule="auto"/>
        <w:ind w:left="0" w:firstLine="720"/>
        <w:rPr>
          <w:color w:val="auto"/>
        </w:rPr>
      </w:pPr>
      <w:r w:rsidRPr="00FC2582">
        <w:rPr>
          <w:color w:val="auto"/>
        </w:rPr>
        <w:lastRenderedPageBreak/>
        <w:t xml:space="preserve">crearea instituţiei </w:t>
      </w:r>
      <w:r w:rsidRPr="00FC2582">
        <w:rPr>
          <w:rStyle w:val="Bodytext2Italic"/>
          <w:color w:val="auto"/>
        </w:rPr>
        <w:t>formatorilor ce desfăşoară activităţi tutoriale în cadrul INPPA</w:t>
      </w:r>
      <w:r w:rsidRPr="00FC2582">
        <w:rPr>
          <w:color w:val="auto"/>
        </w:rPr>
        <w:t xml:space="preserve"> şi cea a </w:t>
      </w:r>
      <w:r w:rsidRPr="00FC2582">
        <w:rPr>
          <w:rStyle w:val="Bodytext2Italic"/>
          <w:color w:val="auto"/>
        </w:rPr>
        <w:t>Caietului de lucrări profesionale,</w:t>
      </w:r>
      <w:r w:rsidRPr="00FC2582">
        <w:rPr>
          <w:color w:val="auto"/>
        </w:rPr>
        <w:t xml:space="preserve"> formă de materializare a pregătirii care va reflecta activitatea individuală a stagiarului şi care va asigura legătura dintre pregătirea din INPPA şi cea din cadrul formei de exercitare a profesiei în care îşi desfăşoară activitatea stagiarul, prin conlucrare cu tutorele INPPA.</w:t>
      </w:r>
    </w:p>
    <w:p w:rsidR="00550624" w:rsidRDefault="00550624" w:rsidP="003A1DE8">
      <w:pPr>
        <w:pStyle w:val="Bodytext70"/>
        <w:shd w:val="clear" w:color="auto" w:fill="auto"/>
        <w:spacing w:after="0" w:line="240" w:lineRule="auto"/>
        <w:ind w:firstLine="720"/>
        <w:jc w:val="both"/>
        <w:rPr>
          <w:color w:val="auto"/>
        </w:rPr>
      </w:pPr>
    </w:p>
    <w:p w:rsidR="007A1BC0" w:rsidRPr="00FC2582" w:rsidRDefault="00550624" w:rsidP="00550624">
      <w:pPr>
        <w:pStyle w:val="Bodytext20"/>
        <w:shd w:val="clear" w:color="auto" w:fill="auto"/>
        <w:tabs>
          <w:tab w:val="left" w:pos="321"/>
        </w:tabs>
        <w:spacing w:before="0" w:after="0" w:line="240" w:lineRule="auto"/>
        <w:ind w:left="720" w:firstLine="0"/>
        <w:rPr>
          <w:b/>
          <w:i/>
          <w:color w:val="auto"/>
        </w:rPr>
      </w:pPr>
      <w:r>
        <w:rPr>
          <w:b/>
          <w:i/>
          <w:color w:val="auto"/>
        </w:rPr>
        <w:t>A</w:t>
      </w:r>
      <w:r w:rsidR="00CA67BE" w:rsidRPr="00FC2582">
        <w:rPr>
          <w:b/>
          <w:i/>
          <w:color w:val="auto"/>
        </w:rPr>
        <w:t>ctivitatea INPPA se desfăşoară prin activităţi tutoriale desfăşurate în cadrul INPPA, conform programului de realizare a fiecărui modul de pregătire.</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În perioada în care nu sunt planificate activităţi tutoriale cursanţii vor efectua lucrările profesionale şi îşi vor desfăşura activitatea obişnuită în cadrul formelor de exercitare a profesiei.</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 xml:space="preserve">În această perioadă cursanţii vor putea consulta formatorii ce se ocupa de activitatea tutorială. În acest </w:t>
      </w:r>
      <w:r w:rsidRPr="00FC2582">
        <w:rPr>
          <w:color w:val="auto"/>
          <w:lang w:eastAsia="en-US" w:bidi="en-US"/>
        </w:rPr>
        <w:t xml:space="preserve">scop </w:t>
      </w:r>
      <w:r w:rsidRPr="00FC2582">
        <w:rPr>
          <w:color w:val="auto"/>
        </w:rPr>
        <w:t>se vor organiza grupuri on-line sub coordonarea unui secretar desemnat de conducerea INPPA. Întrebările ridicate de cursanţi vor putea primi răspuns calificat din partea formatorilor în limitele programei şi interesului rezolvării lucrărilor profesionale.</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Fiecare din temele de pregătire se vor concretiza în lucrări întocmite de cursanţi sub îndrumarea avocaţilor îndrumători, care vor alcătui Caietul de lucrări profesionale (individual).</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La data stabilită de conducerea INPPA cursanţii vor preda Caietele de lucrări profesionale, atestate de avocaţii îndrumători.</w:t>
      </w:r>
    </w:p>
    <w:p w:rsidR="006F337B" w:rsidRDefault="006F337B" w:rsidP="003A1DE8">
      <w:pPr>
        <w:pStyle w:val="Bodytext20"/>
        <w:shd w:val="clear" w:color="auto" w:fill="auto"/>
        <w:spacing w:before="0" w:after="0" w:line="240" w:lineRule="auto"/>
        <w:ind w:firstLine="720"/>
        <w:rPr>
          <w:color w:val="auto"/>
        </w:rPr>
      </w:pPr>
    </w:p>
    <w:p w:rsidR="005F62E4" w:rsidRPr="00FC2582" w:rsidRDefault="005F62E4" w:rsidP="003A1DE8">
      <w:pPr>
        <w:pStyle w:val="Bodytext20"/>
        <w:shd w:val="clear" w:color="auto" w:fill="auto"/>
        <w:spacing w:before="0" w:after="0" w:line="240" w:lineRule="auto"/>
        <w:ind w:firstLine="720"/>
        <w:rPr>
          <w:color w:val="auto"/>
        </w:rPr>
      </w:pPr>
    </w:p>
    <w:p w:rsidR="00D80EF7" w:rsidRDefault="00D80EF7" w:rsidP="003A1DE8">
      <w:pPr>
        <w:pStyle w:val="Bodytext20"/>
        <w:shd w:val="clear" w:color="auto" w:fill="auto"/>
        <w:spacing w:before="0" w:after="0" w:line="240" w:lineRule="auto"/>
        <w:ind w:firstLine="720"/>
        <w:rPr>
          <w:color w:val="auto"/>
        </w:rPr>
      </w:pPr>
    </w:p>
    <w:p w:rsidR="007A1BC0" w:rsidRPr="00FC2582" w:rsidRDefault="00CA67BE" w:rsidP="003A1DE8">
      <w:pPr>
        <w:pStyle w:val="Heading220"/>
        <w:shd w:val="clear" w:color="auto" w:fill="auto"/>
        <w:spacing w:before="0" w:after="0" w:line="240" w:lineRule="auto"/>
        <w:ind w:firstLine="720"/>
        <w:jc w:val="center"/>
        <w:rPr>
          <w:b/>
          <w:color w:val="auto"/>
          <w:u w:val="single"/>
        </w:rPr>
      </w:pPr>
      <w:bookmarkStart w:id="4" w:name="bookmark24"/>
      <w:r w:rsidRPr="00FC2582">
        <w:rPr>
          <w:b/>
          <w:color w:val="auto"/>
          <w:u w:val="single"/>
        </w:rPr>
        <w:t>ANUL II DE STAGIU</w:t>
      </w:r>
      <w:bookmarkEnd w:id="4"/>
    </w:p>
    <w:p w:rsidR="007A1BC0" w:rsidRPr="00FC2582" w:rsidRDefault="00CA67BE" w:rsidP="003A1DE8">
      <w:pPr>
        <w:pStyle w:val="Bodytext90"/>
        <w:shd w:val="clear" w:color="auto" w:fill="auto"/>
        <w:spacing w:before="0" w:after="0" w:line="240" w:lineRule="auto"/>
        <w:ind w:firstLine="720"/>
        <w:rPr>
          <w:color w:val="auto"/>
        </w:rPr>
      </w:pPr>
      <w:r w:rsidRPr="00FC2582">
        <w:rPr>
          <w:color w:val="auto"/>
        </w:rPr>
        <w:t>Obiective speciale:</w:t>
      </w:r>
    </w:p>
    <w:p w:rsidR="007A1BC0" w:rsidRPr="00FC2582" w:rsidRDefault="00CA67BE" w:rsidP="003A1DE8">
      <w:pPr>
        <w:pStyle w:val="Bodytext20"/>
        <w:numPr>
          <w:ilvl w:val="0"/>
          <w:numId w:val="1"/>
        </w:numPr>
        <w:shd w:val="clear" w:color="auto" w:fill="auto"/>
        <w:tabs>
          <w:tab w:val="left" w:pos="900"/>
        </w:tabs>
        <w:spacing w:before="0" w:after="0" w:line="240" w:lineRule="auto"/>
        <w:ind w:firstLine="540"/>
        <w:rPr>
          <w:color w:val="auto"/>
        </w:rPr>
      </w:pPr>
      <w:r w:rsidRPr="00FC2582">
        <w:rPr>
          <w:color w:val="auto"/>
        </w:rPr>
        <w:t xml:space="preserve">asigurarea unui standard de competenţe generale în </w:t>
      </w:r>
      <w:r w:rsidRPr="00FC2582">
        <w:rPr>
          <w:rStyle w:val="Bodytext2Bold"/>
          <w:color w:val="auto"/>
        </w:rPr>
        <w:t xml:space="preserve">domeniile fundamentale ale dreptului </w:t>
      </w:r>
      <w:r w:rsidRPr="00FC2582">
        <w:rPr>
          <w:color w:val="auto"/>
        </w:rPr>
        <w:t xml:space="preserve">prin: cunoaşterea noutăţilor legislative în domeniile ce fac obiectul tematicii; cunoaşterea </w:t>
      </w:r>
      <w:r w:rsidRPr="00FC2582">
        <w:rPr>
          <w:rStyle w:val="Bodytext2Bold"/>
          <w:color w:val="auto"/>
        </w:rPr>
        <w:t xml:space="preserve">practicii judiciare </w:t>
      </w:r>
      <w:r w:rsidRPr="00FC2582">
        <w:rPr>
          <w:color w:val="auto"/>
        </w:rPr>
        <w:t xml:space="preserve">în domeniile relevante; </w:t>
      </w:r>
      <w:r w:rsidRPr="00FC2582">
        <w:rPr>
          <w:rStyle w:val="Bodytext2Bold"/>
          <w:color w:val="auto"/>
        </w:rPr>
        <w:t xml:space="preserve">perfecţionarea tehnicilor de redactare </w:t>
      </w:r>
      <w:r w:rsidRPr="00FC2582">
        <w:rPr>
          <w:color w:val="auto"/>
        </w:rPr>
        <w:t>a actelor juridice şi judiciare; dezvoltarea gândirii juridice specifice activităţii de avocat.</w:t>
      </w:r>
    </w:p>
    <w:p w:rsidR="007A1BC0" w:rsidRPr="00FC2582" w:rsidRDefault="00CA67BE" w:rsidP="003A1DE8">
      <w:pPr>
        <w:pStyle w:val="Bodytext20"/>
        <w:numPr>
          <w:ilvl w:val="0"/>
          <w:numId w:val="1"/>
        </w:numPr>
        <w:shd w:val="clear" w:color="auto" w:fill="auto"/>
        <w:tabs>
          <w:tab w:val="left" w:pos="900"/>
        </w:tabs>
        <w:spacing w:before="0" w:after="0" w:line="240" w:lineRule="auto"/>
        <w:ind w:firstLine="540"/>
        <w:rPr>
          <w:color w:val="auto"/>
        </w:rPr>
      </w:pPr>
      <w:r w:rsidRPr="00FC2582">
        <w:rPr>
          <w:color w:val="auto"/>
        </w:rPr>
        <w:t xml:space="preserve">asigurarea unui standard de competenţe în domeniul </w:t>
      </w:r>
      <w:r w:rsidRPr="00FC2582">
        <w:rPr>
          <w:rStyle w:val="Bodytext2Bold"/>
          <w:color w:val="auto"/>
        </w:rPr>
        <w:t xml:space="preserve">dreptului European </w:t>
      </w:r>
      <w:r w:rsidRPr="00FC2582">
        <w:rPr>
          <w:color w:val="auto"/>
        </w:rPr>
        <w:t>prin informarea asupra: structurii instituţiilor europene şi competenţelor acestora, jurisprudenţei CEDO, jurisprudenţei CJUE şi dreptului European al muncii.</w:t>
      </w:r>
    </w:p>
    <w:p w:rsidR="007A1BC0" w:rsidRPr="00FC2582" w:rsidRDefault="00CA67BE" w:rsidP="003A1DE8">
      <w:pPr>
        <w:pStyle w:val="Bodytext90"/>
        <w:shd w:val="clear" w:color="auto" w:fill="auto"/>
        <w:tabs>
          <w:tab w:val="left" w:pos="1080"/>
        </w:tabs>
        <w:spacing w:before="0" w:after="0" w:line="240" w:lineRule="auto"/>
        <w:ind w:firstLine="720"/>
        <w:rPr>
          <w:color w:val="auto"/>
        </w:rPr>
      </w:pPr>
      <w:r w:rsidRPr="00FC2582">
        <w:rPr>
          <w:color w:val="auto"/>
        </w:rPr>
        <w:t>Mijloace de realizare a obiectivelor:</w:t>
      </w:r>
    </w:p>
    <w:p w:rsidR="007A1BC0" w:rsidRPr="00FC2582" w:rsidRDefault="00CA67BE" w:rsidP="003A1DE8">
      <w:pPr>
        <w:pStyle w:val="Bodytext20"/>
        <w:numPr>
          <w:ilvl w:val="0"/>
          <w:numId w:val="1"/>
        </w:numPr>
        <w:shd w:val="clear" w:color="auto" w:fill="auto"/>
        <w:tabs>
          <w:tab w:val="left" w:pos="207"/>
          <w:tab w:val="left" w:pos="1080"/>
        </w:tabs>
        <w:spacing w:before="0" w:after="0" w:line="240" w:lineRule="auto"/>
        <w:ind w:firstLine="720"/>
        <w:rPr>
          <w:color w:val="auto"/>
        </w:rPr>
      </w:pPr>
      <w:r w:rsidRPr="00FC2582">
        <w:rPr>
          <w:color w:val="auto"/>
        </w:rPr>
        <w:t xml:space="preserve">înlăturarea diferenţierii formelor de pregătire în </w:t>
      </w:r>
      <w:r w:rsidRPr="00FC2582">
        <w:rPr>
          <w:rStyle w:val="Bodytext2Italic"/>
          <w:color w:val="auto"/>
        </w:rPr>
        <w:t>cursuri</w:t>
      </w:r>
      <w:r w:rsidRPr="00FC2582">
        <w:rPr>
          <w:color w:val="auto"/>
        </w:rPr>
        <w:t xml:space="preserve"> şi </w:t>
      </w:r>
      <w:r w:rsidRPr="00FC2582">
        <w:rPr>
          <w:rStyle w:val="Bodytext2Italic"/>
          <w:color w:val="auto"/>
        </w:rPr>
        <w:t>ateliere</w:t>
      </w:r>
      <w:r w:rsidRPr="00FC2582">
        <w:rPr>
          <w:color w:val="auto"/>
        </w:rPr>
        <w:t xml:space="preserve">: toate întâlnirile formatorilor INPPA cu stagiarii de anul II vor avea caracterul unor </w:t>
      </w:r>
      <w:r w:rsidRPr="00FC2582">
        <w:rPr>
          <w:rStyle w:val="Bodytext2Italic"/>
          <w:color w:val="auto"/>
        </w:rPr>
        <w:t>activităţi tutoriale</w:t>
      </w:r>
      <w:r w:rsidRPr="00FC2582">
        <w:rPr>
          <w:color w:val="auto"/>
        </w:rPr>
        <w:t xml:space="preserve"> care vor îmbina expunerea unor probleme de drept sau informaţii juridice cu discutarea unor cazuri practice. Activităţile tutoriale nu au rolul de a crea bagajul de cunoştinţe juridice necesar stagiarilor de anul II </w:t>
      </w:r>
      <w:r w:rsidRPr="00FC2582">
        <w:rPr>
          <w:rStyle w:val="Bodytext21"/>
          <w:color w:val="auto"/>
        </w:rPr>
        <w:t>ci numai să îndrume pregătirea acestora şi să creeze modele de rezolvare a unor situaţii cu conţinut juridic</w:t>
      </w:r>
      <w:r w:rsidRPr="00FC2582">
        <w:rPr>
          <w:color w:val="auto"/>
        </w:rPr>
        <w:t xml:space="preserve"> (ex: </w:t>
      </w:r>
      <w:r w:rsidRPr="00FC2582">
        <w:rPr>
          <w:rStyle w:val="Bodytext2Italic"/>
          <w:color w:val="auto"/>
        </w:rPr>
        <w:t xml:space="preserve">expunerea unui caz de practică judiciară care este relevant prin greşelile sau abilităţile pe care le-au dovedit instanţa sau avocaţii, modul în care au funcţionat în speţă anumite instituţii de drept; importanţa inserării în cadrul unui </w:t>
      </w:r>
      <w:r w:rsidRPr="00FC2582">
        <w:rPr>
          <w:rStyle w:val="Bodytext2Italic"/>
          <w:color w:val="auto"/>
          <w:lang w:eastAsia="en-US" w:bidi="en-US"/>
        </w:rPr>
        <w:t xml:space="preserve">contract </w:t>
      </w:r>
      <w:r w:rsidRPr="00FC2582">
        <w:rPr>
          <w:rStyle w:val="Bodytext2Italic"/>
          <w:color w:val="auto"/>
        </w:rPr>
        <w:t xml:space="preserve">a anumitor </w:t>
      </w:r>
      <w:r w:rsidRPr="00FC2582">
        <w:rPr>
          <w:rStyle w:val="Bodytext2Italic"/>
          <w:color w:val="auto"/>
        </w:rPr>
        <w:lastRenderedPageBreak/>
        <w:t>clauze şi impactul acestora în perioada de executare a contractului; identificarea posibilelor cauze de evicţiune în perioada de analizare a încheierii unui contract de vânzare - cumpărare</w:t>
      </w:r>
      <w:r w:rsidRPr="00FC2582">
        <w:rPr>
          <w:color w:val="auto"/>
        </w:rPr>
        <w:t xml:space="preserve"> </w:t>
      </w:r>
      <w:r w:rsidRPr="00FC2582">
        <w:rPr>
          <w:color w:val="auto"/>
          <w:lang w:eastAsia="en-US" w:bidi="en-US"/>
        </w:rPr>
        <w:t>etc.).</w:t>
      </w:r>
    </w:p>
    <w:p w:rsidR="007A1BC0" w:rsidRPr="00FC2582" w:rsidRDefault="00CA67BE" w:rsidP="003A1DE8">
      <w:pPr>
        <w:pStyle w:val="Bodytext20"/>
        <w:numPr>
          <w:ilvl w:val="0"/>
          <w:numId w:val="1"/>
        </w:numPr>
        <w:shd w:val="clear" w:color="auto" w:fill="auto"/>
        <w:tabs>
          <w:tab w:val="left" w:pos="202"/>
          <w:tab w:val="left" w:pos="1080"/>
        </w:tabs>
        <w:spacing w:before="0" w:after="0" w:line="240" w:lineRule="auto"/>
        <w:ind w:firstLine="720"/>
        <w:rPr>
          <w:color w:val="auto"/>
        </w:rPr>
      </w:pPr>
      <w:r w:rsidRPr="00FC2582">
        <w:rPr>
          <w:color w:val="auto"/>
        </w:rPr>
        <w:t>grupele de lucru nu vor depăşi 30 de cursanţi;</w:t>
      </w:r>
    </w:p>
    <w:p w:rsidR="007A1BC0" w:rsidRPr="00FC2582" w:rsidRDefault="00CA67BE" w:rsidP="003A1DE8">
      <w:pPr>
        <w:pStyle w:val="Bodytext20"/>
        <w:numPr>
          <w:ilvl w:val="0"/>
          <w:numId w:val="1"/>
        </w:numPr>
        <w:shd w:val="clear" w:color="auto" w:fill="auto"/>
        <w:tabs>
          <w:tab w:val="left" w:pos="202"/>
          <w:tab w:val="left" w:pos="1080"/>
        </w:tabs>
        <w:spacing w:before="0" w:after="0" w:line="240" w:lineRule="auto"/>
        <w:ind w:firstLine="720"/>
        <w:rPr>
          <w:color w:val="auto"/>
        </w:rPr>
      </w:pPr>
      <w:r w:rsidRPr="00FC2582">
        <w:rPr>
          <w:color w:val="auto"/>
        </w:rPr>
        <w:t xml:space="preserve">formatorii INPPA vor avea asupra cursanţilor o activitate de îndrumare tutorială, indicând </w:t>
      </w:r>
      <w:r w:rsidRPr="00FC2582">
        <w:rPr>
          <w:rStyle w:val="Bodytext21"/>
          <w:color w:val="auto"/>
        </w:rPr>
        <w:t>elementele de studiu, noutăţile în materie şi lucrările ce trebuie să le întocmească;</w:t>
      </w:r>
    </w:p>
    <w:p w:rsidR="007A1BC0" w:rsidRPr="00FC2582" w:rsidRDefault="00CA67BE" w:rsidP="003A1DE8">
      <w:pPr>
        <w:pStyle w:val="Bodytext20"/>
        <w:numPr>
          <w:ilvl w:val="0"/>
          <w:numId w:val="1"/>
        </w:numPr>
        <w:shd w:val="clear" w:color="auto" w:fill="auto"/>
        <w:tabs>
          <w:tab w:val="left" w:pos="202"/>
          <w:tab w:val="left" w:pos="1080"/>
        </w:tabs>
        <w:spacing w:before="0" w:after="0" w:line="240" w:lineRule="auto"/>
        <w:ind w:firstLine="720"/>
        <w:rPr>
          <w:color w:val="auto"/>
        </w:rPr>
      </w:pPr>
      <w:r w:rsidRPr="00FC2582">
        <w:rPr>
          <w:color w:val="auto"/>
        </w:rPr>
        <w:t xml:space="preserve">accentul pregătirii cade asupra </w:t>
      </w:r>
      <w:r w:rsidRPr="00FC2582">
        <w:rPr>
          <w:rStyle w:val="Bodytext2Bold"/>
          <w:color w:val="auto"/>
        </w:rPr>
        <w:t>studiului individual</w:t>
      </w:r>
      <w:r w:rsidRPr="00FC2582">
        <w:rPr>
          <w:color w:val="auto"/>
        </w:rPr>
        <w:t xml:space="preserve">, formatorii INPPA stabilind numai </w:t>
      </w:r>
      <w:r w:rsidRPr="00FC2582">
        <w:rPr>
          <w:rStyle w:val="Bodytext2Bold"/>
          <w:color w:val="auto"/>
        </w:rPr>
        <w:t>direcţiile de studiu, bibliografia relevantă şi temele de lucru</w:t>
      </w:r>
      <w:r w:rsidRPr="00FC2582">
        <w:rPr>
          <w:color w:val="auto"/>
        </w:rPr>
        <w:t>; întreaga activitate de lucru a stagiarilor de anul II se va evidenţia în caietul de lucrări profesionale.</w:t>
      </w:r>
    </w:p>
    <w:p w:rsidR="007A1BC0" w:rsidRPr="00FC2582" w:rsidRDefault="00CA67BE" w:rsidP="003A1DE8">
      <w:pPr>
        <w:pStyle w:val="Bodytext20"/>
        <w:numPr>
          <w:ilvl w:val="0"/>
          <w:numId w:val="1"/>
        </w:numPr>
        <w:shd w:val="clear" w:color="auto" w:fill="auto"/>
        <w:tabs>
          <w:tab w:val="left" w:pos="207"/>
          <w:tab w:val="left" w:pos="1080"/>
        </w:tabs>
        <w:spacing w:before="0" w:after="0" w:line="240" w:lineRule="auto"/>
        <w:ind w:firstLine="720"/>
        <w:rPr>
          <w:color w:val="auto"/>
        </w:rPr>
      </w:pPr>
      <w:r w:rsidRPr="00FC2582">
        <w:rPr>
          <w:rStyle w:val="Bodytext2Italic"/>
          <w:color w:val="auto"/>
        </w:rPr>
        <w:t>Caietul de lucrări profesionale</w:t>
      </w:r>
      <w:r w:rsidRPr="00FC2582">
        <w:rPr>
          <w:color w:val="auto"/>
        </w:rPr>
        <w:t xml:space="preserve"> devine principalul instrument de evidenţă a activităţii de pregătire iniţială a avocatului stagiar aflat în anul II de stagiu; caietul de lucrări profesionale va cuprinde temele indicate de către formatorii INPPA care asigură îndrumarea tutorială a cursanţilor în domeniile ce fac obiectul tematicii.</w:t>
      </w:r>
    </w:p>
    <w:p w:rsidR="007A1BC0" w:rsidRPr="00FC2582" w:rsidRDefault="00CA67BE" w:rsidP="003A1DE8">
      <w:pPr>
        <w:pStyle w:val="Bodytext20"/>
        <w:numPr>
          <w:ilvl w:val="0"/>
          <w:numId w:val="1"/>
        </w:numPr>
        <w:shd w:val="clear" w:color="auto" w:fill="auto"/>
        <w:tabs>
          <w:tab w:val="left" w:pos="1080"/>
        </w:tabs>
        <w:spacing w:before="0" w:after="0" w:line="240" w:lineRule="auto"/>
        <w:ind w:firstLine="720"/>
        <w:rPr>
          <w:color w:val="auto"/>
        </w:rPr>
      </w:pPr>
      <w:r w:rsidRPr="00FC2582">
        <w:rPr>
          <w:color w:val="auto"/>
        </w:rPr>
        <w:t xml:space="preserve"> Caietul de lucrări profesionale va fi semnat de avocatul îndrumător, va fi predat INPPA înaintea sesiunii de examen şi va constitui baza problemelor ridicate în cadrul probei colocviale a examenului de absolvire.</w:t>
      </w:r>
    </w:p>
    <w:p w:rsidR="007A1BC0" w:rsidRPr="00FC2582" w:rsidRDefault="00CA67BE" w:rsidP="003A1DE8">
      <w:pPr>
        <w:pStyle w:val="Bodytext20"/>
        <w:numPr>
          <w:ilvl w:val="0"/>
          <w:numId w:val="1"/>
        </w:numPr>
        <w:shd w:val="clear" w:color="auto" w:fill="auto"/>
        <w:tabs>
          <w:tab w:val="left" w:pos="217"/>
          <w:tab w:val="left" w:pos="1080"/>
        </w:tabs>
        <w:spacing w:before="0" w:after="0" w:line="240" w:lineRule="auto"/>
        <w:ind w:firstLine="720"/>
        <w:rPr>
          <w:color w:val="auto"/>
        </w:rPr>
      </w:pPr>
      <w:r w:rsidRPr="00FC2582">
        <w:rPr>
          <w:rStyle w:val="Bodytext21"/>
          <w:color w:val="auto"/>
        </w:rPr>
        <w:t>Perioada efectivă pe care cursanţii o vor petrece la INPPA se va diminua în mod semnificativ ca urmare a schimbării cursurilor şi atelierelor, care tindeau la epuizarea tematicii prin prelegeri şi dezbateri, cu activităţile tutoriale, care presupun numai îndrumarea cursanţilor şi mai mult studiu individual</w:t>
      </w:r>
      <w:r w:rsidRPr="00FC2582">
        <w:rPr>
          <w:color w:val="auto"/>
        </w:rPr>
        <w:t>. Proporţional, se va reduce perioada în care cursanţii vor fi nevoiţi să îşi diminueze activitatea în cadrul formelor de exercitare a profesiei. Avocaţii îndrumători vor fi mai implicaţi în pregătirea profesională iniţială a avocaţilor stagiari deoarece vor urmări lucrările profesionale ale acestora şi semnează caietul de lucrări profesionale.</w:t>
      </w:r>
    </w:p>
    <w:p w:rsidR="007A1BC0" w:rsidRPr="00FC2582" w:rsidRDefault="00CA67BE" w:rsidP="003A1DE8">
      <w:pPr>
        <w:pStyle w:val="Bodytext20"/>
        <w:numPr>
          <w:ilvl w:val="0"/>
          <w:numId w:val="1"/>
        </w:numPr>
        <w:shd w:val="clear" w:color="auto" w:fill="auto"/>
        <w:tabs>
          <w:tab w:val="left" w:pos="202"/>
          <w:tab w:val="left" w:pos="1080"/>
        </w:tabs>
        <w:spacing w:before="0" w:after="0" w:line="240" w:lineRule="auto"/>
        <w:ind w:firstLine="720"/>
        <w:rPr>
          <w:color w:val="auto"/>
        </w:rPr>
      </w:pPr>
      <w:r w:rsidRPr="00FC2582">
        <w:rPr>
          <w:rStyle w:val="Bodytext21"/>
          <w:color w:val="auto"/>
        </w:rPr>
        <w:t>Reducerea numărului de ore în care este necesară prezenţa cursanţilor va fi dublată de o severă sancţionare a absenţelor, aspect ce trebuie înţeles şi de formele de exercitare a</w:t>
      </w:r>
      <w:r w:rsidR="003A1DE8" w:rsidRPr="00FC2582">
        <w:rPr>
          <w:color w:val="auto"/>
        </w:rPr>
        <w:t xml:space="preserve"> </w:t>
      </w:r>
      <w:r w:rsidRPr="00FC2582">
        <w:rPr>
          <w:rStyle w:val="Bodytext21"/>
          <w:color w:val="auto"/>
        </w:rPr>
        <w:t>profesiei din care fac parte stagiarii</w:t>
      </w:r>
      <w:r w:rsidRPr="00FC2582">
        <w:rPr>
          <w:color w:val="auto"/>
        </w:rPr>
        <w:t>.</w:t>
      </w:r>
    </w:p>
    <w:p w:rsidR="00FC2582" w:rsidRDefault="00FC2582" w:rsidP="003A1DE8">
      <w:pPr>
        <w:pStyle w:val="Bodytext80"/>
        <w:shd w:val="clear" w:color="auto" w:fill="auto"/>
        <w:spacing w:before="0" w:after="0" w:line="240" w:lineRule="auto"/>
        <w:ind w:firstLine="720"/>
        <w:jc w:val="both"/>
        <w:rPr>
          <w:color w:val="auto"/>
        </w:rPr>
      </w:pPr>
    </w:p>
    <w:p w:rsidR="00FC2582" w:rsidRDefault="00FC2582" w:rsidP="003A1DE8">
      <w:pPr>
        <w:pStyle w:val="Bodytext80"/>
        <w:shd w:val="clear" w:color="auto" w:fill="auto"/>
        <w:spacing w:before="0" w:after="0" w:line="240" w:lineRule="auto"/>
        <w:ind w:firstLine="720"/>
        <w:jc w:val="both"/>
        <w:rPr>
          <w:color w:val="auto"/>
        </w:rPr>
      </w:pPr>
    </w:p>
    <w:p w:rsidR="005F62E4" w:rsidRDefault="005F62E4" w:rsidP="003A1DE8">
      <w:pPr>
        <w:pStyle w:val="Bodytext80"/>
        <w:shd w:val="clear" w:color="auto" w:fill="auto"/>
        <w:spacing w:before="0" w:after="0" w:line="240" w:lineRule="auto"/>
        <w:ind w:firstLine="720"/>
        <w:jc w:val="both"/>
        <w:rPr>
          <w:color w:val="auto"/>
        </w:rPr>
      </w:pPr>
    </w:p>
    <w:p w:rsidR="007A1BC0" w:rsidRPr="00FC2582" w:rsidRDefault="00CA67BE" w:rsidP="003A1DE8">
      <w:pPr>
        <w:pStyle w:val="Bodytext80"/>
        <w:shd w:val="clear" w:color="auto" w:fill="auto"/>
        <w:spacing w:before="0" w:after="0" w:line="240" w:lineRule="auto"/>
        <w:ind w:firstLine="720"/>
        <w:jc w:val="both"/>
        <w:rPr>
          <w:color w:val="auto"/>
        </w:rPr>
      </w:pPr>
      <w:r w:rsidRPr="00FC2582">
        <w:rPr>
          <w:color w:val="auto"/>
        </w:rPr>
        <w:t>Structura anului II de stagiu:</w:t>
      </w:r>
    </w:p>
    <w:p w:rsidR="00FC2582" w:rsidRDefault="00FC2582" w:rsidP="003A1DE8">
      <w:pPr>
        <w:pStyle w:val="Bodytext20"/>
        <w:shd w:val="clear" w:color="auto" w:fill="auto"/>
        <w:spacing w:before="0" w:after="0" w:line="240" w:lineRule="auto"/>
        <w:ind w:firstLine="720"/>
        <w:rPr>
          <w:color w:val="auto"/>
        </w:rPr>
      </w:pP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 xml:space="preserve">Anul II de pregătire profesională iniţială va debuta </w:t>
      </w:r>
      <w:r w:rsidR="003A1DE8" w:rsidRPr="00FC2582">
        <w:rPr>
          <w:color w:val="auto"/>
        </w:rPr>
        <w:t xml:space="preserve">conform hotărârii Consiliului de Conducere </w:t>
      </w:r>
      <w:r w:rsidR="00B54BB8" w:rsidRPr="00FC2582">
        <w:rPr>
          <w:color w:val="auto"/>
        </w:rPr>
        <w:t xml:space="preserve">al INPPA și </w:t>
      </w:r>
      <w:r w:rsidRPr="00FC2582">
        <w:rPr>
          <w:color w:val="auto"/>
        </w:rPr>
        <w:t>se va termina prin susţinerea examenului de absolvire.</w:t>
      </w:r>
    </w:p>
    <w:p w:rsidR="00725244" w:rsidRPr="00FC2582" w:rsidRDefault="00CA67BE" w:rsidP="003A1DE8">
      <w:pPr>
        <w:pStyle w:val="Bodytext20"/>
        <w:shd w:val="clear" w:color="auto" w:fill="auto"/>
        <w:spacing w:before="0" w:after="0" w:line="240" w:lineRule="auto"/>
        <w:ind w:firstLine="720"/>
        <w:rPr>
          <w:color w:val="auto"/>
        </w:rPr>
      </w:pPr>
      <w:r w:rsidRPr="00FC2582">
        <w:rPr>
          <w:color w:val="auto"/>
        </w:rPr>
        <w:t xml:space="preserve">Anul II de pregătire profesională cuprinde 3 MODULE, având în total </w:t>
      </w:r>
      <w:r w:rsidR="004229DB" w:rsidRPr="00FC2582">
        <w:rPr>
          <w:color w:val="auto"/>
        </w:rPr>
        <w:t>64</w:t>
      </w:r>
      <w:r w:rsidR="00080A04" w:rsidRPr="00FC2582">
        <w:rPr>
          <w:color w:val="auto"/>
        </w:rPr>
        <w:t xml:space="preserve"> </w:t>
      </w:r>
      <w:r w:rsidRPr="00FC2582">
        <w:rPr>
          <w:color w:val="auto"/>
        </w:rPr>
        <w:t>de ore de pregătire:</w:t>
      </w:r>
      <w:r w:rsidR="00725244" w:rsidRPr="00FC2582">
        <w:rPr>
          <w:color w:val="auto"/>
        </w:rPr>
        <w:t xml:space="preserve"> </w:t>
      </w:r>
    </w:p>
    <w:p w:rsidR="00FC2582" w:rsidRPr="00FC2582" w:rsidRDefault="00FC2582" w:rsidP="00FC2582">
      <w:pPr>
        <w:pStyle w:val="Bodytext20"/>
        <w:shd w:val="clear" w:color="auto" w:fill="auto"/>
        <w:spacing w:before="0" w:after="0" w:line="240" w:lineRule="auto"/>
        <w:ind w:left="1080" w:firstLine="0"/>
        <w:rPr>
          <w:i/>
          <w:color w:val="auto"/>
        </w:rPr>
      </w:pPr>
    </w:p>
    <w:p w:rsidR="007A1BC0" w:rsidRPr="00FC2582" w:rsidRDefault="00725244" w:rsidP="00725244">
      <w:pPr>
        <w:pStyle w:val="Bodytext20"/>
        <w:numPr>
          <w:ilvl w:val="0"/>
          <w:numId w:val="49"/>
        </w:numPr>
        <w:shd w:val="clear" w:color="auto" w:fill="auto"/>
        <w:spacing w:before="0" w:after="0" w:line="240" w:lineRule="auto"/>
        <w:rPr>
          <w:i/>
          <w:color w:val="auto"/>
        </w:rPr>
      </w:pPr>
      <w:r w:rsidRPr="00FC2582">
        <w:rPr>
          <w:color w:val="auto"/>
        </w:rPr>
        <w:t xml:space="preserve">Modulul de </w:t>
      </w:r>
      <w:r w:rsidRPr="00FC2582">
        <w:rPr>
          <w:i/>
          <w:color w:val="auto"/>
        </w:rPr>
        <w:t>drept civil / drept procesual civil</w:t>
      </w:r>
    </w:p>
    <w:p w:rsidR="00725244" w:rsidRPr="00FC2582" w:rsidRDefault="00725244" w:rsidP="00725244">
      <w:pPr>
        <w:pStyle w:val="Bodytext20"/>
        <w:numPr>
          <w:ilvl w:val="0"/>
          <w:numId w:val="49"/>
        </w:numPr>
        <w:shd w:val="clear" w:color="auto" w:fill="auto"/>
        <w:spacing w:before="0" w:after="0" w:line="240" w:lineRule="auto"/>
        <w:rPr>
          <w:i/>
          <w:color w:val="auto"/>
        </w:rPr>
      </w:pPr>
      <w:r w:rsidRPr="00FC2582">
        <w:rPr>
          <w:color w:val="auto"/>
        </w:rPr>
        <w:t xml:space="preserve">Modulul de </w:t>
      </w:r>
      <w:r w:rsidRPr="00FC2582">
        <w:rPr>
          <w:i/>
          <w:color w:val="auto"/>
        </w:rPr>
        <w:t>drept penal / drept procesual penal</w:t>
      </w:r>
    </w:p>
    <w:p w:rsidR="00725244" w:rsidRPr="00FC2582" w:rsidRDefault="00725244" w:rsidP="00725244">
      <w:pPr>
        <w:pStyle w:val="Bodytext20"/>
        <w:numPr>
          <w:ilvl w:val="0"/>
          <w:numId w:val="49"/>
        </w:numPr>
        <w:shd w:val="clear" w:color="auto" w:fill="auto"/>
        <w:spacing w:before="0" w:after="0" w:line="240" w:lineRule="auto"/>
        <w:rPr>
          <w:i/>
          <w:color w:val="auto"/>
        </w:rPr>
      </w:pPr>
      <w:r w:rsidRPr="00FC2582">
        <w:rPr>
          <w:color w:val="auto"/>
        </w:rPr>
        <w:t xml:space="preserve">Modulul de </w:t>
      </w:r>
      <w:r w:rsidRPr="00FC2582">
        <w:rPr>
          <w:i/>
          <w:color w:val="auto"/>
        </w:rPr>
        <w:t>drept european</w:t>
      </w:r>
    </w:p>
    <w:p w:rsidR="00725244" w:rsidRDefault="00725244" w:rsidP="003A1DE8">
      <w:pPr>
        <w:pStyle w:val="Bodytext20"/>
        <w:shd w:val="clear" w:color="auto" w:fill="auto"/>
        <w:spacing w:before="0" w:after="0" w:line="240" w:lineRule="auto"/>
        <w:ind w:firstLine="720"/>
        <w:rPr>
          <w:color w:val="auto"/>
        </w:rPr>
      </w:pPr>
    </w:p>
    <w:p w:rsidR="00FC2582" w:rsidRDefault="00FC2582" w:rsidP="003A1DE8">
      <w:pPr>
        <w:pStyle w:val="Bodytext20"/>
        <w:shd w:val="clear" w:color="auto" w:fill="auto"/>
        <w:spacing w:before="0" w:after="0" w:line="240" w:lineRule="auto"/>
        <w:ind w:firstLine="720"/>
        <w:rPr>
          <w:color w:val="auto"/>
        </w:rPr>
      </w:pPr>
    </w:p>
    <w:p w:rsidR="005F62E4" w:rsidRDefault="005F62E4" w:rsidP="003A1DE8">
      <w:pPr>
        <w:pStyle w:val="Bodytext20"/>
        <w:shd w:val="clear" w:color="auto" w:fill="auto"/>
        <w:spacing w:before="0" w:after="0" w:line="240" w:lineRule="auto"/>
        <w:ind w:firstLine="720"/>
        <w:rPr>
          <w:color w:val="auto"/>
        </w:rPr>
      </w:pPr>
    </w:p>
    <w:p w:rsidR="007A1BC0" w:rsidRPr="00FC2582" w:rsidRDefault="00B54BB8" w:rsidP="005D60C4">
      <w:pPr>
        <w:pStyle w:val="Bodytext70"/>
        <w:shd w:val="clear" w:color="auto" w:fill="auto"/>
        <w:tabs>
          <w:tab w:val="left" w:pos="3106"/>
        </w:tabs>
        <w:spacing w:after="0" w:line="240" w:lineRule="auto"/>
        <w:ind w:firstLine="0"/>
        <w:jc w:val="both"/>
        <w:rPr>
          <w:rStyle w:val="Bodytext71"/>
          <w:b/>
          <w:bCs/>
          <w:i/>
          <w:iCs/>
          <w:color w:val="auto"/>
        </w:rPr>
      </w:pPr>
      <w:r w:rsidRPr="00FC2582">
        <w:rPr>
          <w:rStyle w:val="Bodytext7NotItalic"/>
          <w:b/>
          <w:bCs/>
          <w:color w:val="auto"/>
        </w:rPr>
        <w:t xml:space="preserve">A. </w:t>
      </w:r>
      <w:r w:rsidR="00CA67BE" w:rsidRPr="00FC2582">
        <w:rPr>
          <w:rStyle w:val="Bodytext7NotItalic"/>
          <w:b/>
          <w:bCs/>
          <w:color w:val="auto"/>
        </w:rPr>
        <w:t xml:space="preserve">Modulul </w:t>
      </w:r>
      <w:r w:rsidR="00CA67BE" w:rsidRPr="00FC2582">
        <w:rPr>
          <w:rStyle w:val="Bodytext71"/>
          <w:b/>
          <w:bCs/>
          <w:i/>
          <w:iCs/>
          <w:color w:val="auto"/>
        </w:rPr>
        <w:t>„Drept civil şi procesual civil”</w:t>
      </w:r>
    </w:p>
    <w:p w:rsidR="00B54BB8" w:rsidRPr="00FC2582" w:rsidRDefault="00B54BB8" w:rsidP="00B54BB8">
      <w:pPr>
        <w:pStyle w:val="Bodytext70"/>
        <w:shd w:val="clear" w:color="auto" w:fill="auto"/>
        <w:tabs>
          <w:tab w:val="left" w:pos="3106"/>
        </w:tabs>
        <w:spacing w:after="0" w:line="240" w:lineRule="auto"/>
        <w:ind w:left="720" w:firstLine="0"/>
        <w:jc w:val="both"/>
        <w:rPr>
          <w:color w:val="auto"/>
        </w:rPr>
      </w:pPr>
    </w:p>
    <w:p w:rsidR="007A1BC0" w:rsidRPr="00FC2582" w:rsidRDefault="00CA67BE" w:rsidP="003A1DE8">
      <w:pPr>
        <w:pStyle w:val="Bodytext80"/>
        <w:shd w:val="clear" w:color="auto" w:fill="auto"/>
        <w:spacing w:before="0" w:after="0" w:line="240" w:lineRule="auto"/>
        <w:ind w:firstLine="720"/>
        <w:jc w:val="both"/>
        <w:rPr>
          <w:color w:val="auto"/>
        </w:rPr>
      </w:pPr>
      <w:r w:rsidRPr="00FC2582">
        <w:rPr>
          <w:rStyle w:val="Bodytext81"/>
          <w:b/>
          <w:bCs/>
          <w:color w:val="auto"/>
        </w:rPr>
        <w:t>Modalităţile în care vor discutate temele de pregătire: prezentarea unor cazuri practice, care vor dezvolta probleme ridicate de diferitele puncte din tematică. Cazurile prezentate nu pot epuiza tematica, dar vor constitui modele de rezolvarea a lucrărilor profesionale de către cursanţi.</w:t>
      </w:r>
    </w:p>
    <w:p w:rsidR="007A1BC0" w:rsidRPr="00FC2582" w:rsidRDefault="00CA67BE" w:rsidP="003A1DE8">
      <w:pPr>
        <w:pStyle w:val="Bodytext80"/>
        <w:shd w:val="clear" w:color="auto" w:fill="auto"/>
        <w:spacing w:before="0" w:after="0" w:line="240" w:lineRule="auto"/>
        <w:ind w:firstLine="720"/>
        <w:jc w:val="both"/>
        <w:rPr>
          <w:color w:val="auto"/>
        </w:rPr>
      </w:pPr>
      <w:r w:rsidRPr="00FC2582">
        <w:rPr>
          <w:rStyle w:val="Bodytext81"/>
          <w:b/>
          <w:bCs/>
          <w:color w:val="auto"/>
        </w:rPr>
        <w:t xml:space="preserve">Lucrările profesionale vor fi cele care vor asigura parcurgea problemelor din tematică. </w:t>
      </w:r>
      <w:r w:rsidR="00B54BB8" w:rsidRPr="00FC2582">
        <w:rPr>
          <w:rStyle w:val="Bodytext81"/>
          <w:b/>
          <w:bCs/>
          <w:color w:val="auto"/>
        </w:rPr>
        <w:t xml:space="preserve"> </w:t>
      </w:r>
      <w:r w:rsidRPr="00FC2582">
        <w:rPr>
          <w:rStyle w:val="Bodytext81"/>
          <w:b/>
          <w:bCs/>
          <w:color w:val="auto"/>
        </w:rPr>
        <w:t xml:space="preserve">Lucrările profesionale vor urmări redactarea unor acte specifice activităţii de avocat: concluzii scrise, note de probatorii, căi de atac, opinii juridice, redactare de contracte </w:t>
      </w:r>
      <w:r w:rsidRPr="00FC2582">
        <w:rPr>
          <w:rStyle w:val="Bodytext81"/>
          <w:b/>
          <w:bCs/>
          <w:color w:val="auto"/>
          <w:lang w:val="fr-FR" w:eastAsia="en-US" w:bidi="en-US"/>
        </w:rPr>
        <w:t xml:space="preserve">etc. </w:t>
      </w:r>
      <w:r w:rsidRPr="00FC2582">
        <w:rPr>
          <w:rStyle w:val="Bodytext81"/>
          <w:b/>
          <w:bCs/>
          <w:color w:val="auto"/>
        </w:rPr>
        <w:t>Lucrările profesionale se vor redacta în caietul de lucrări profesionale</w:t>
      </w:r>
      <w:r w:rsidRPr="00FC2582">
        <w:rPr>
          <w:color w:val="auto"/>
        </w:rPr>
        <w:t>.</w:t>
      </w:r>
    </w:p>
    <w:p w:rsidR="007A1BC0" w:rsidRPr="00FC2582" w:rsidRDefault="00CA67BE" w:rsidP="003A1DE8">
      <w:pPr>
        <w:pStyle w:val="Bodytext80"/>
        <w:shd w:val="clear" w:color="auto" w:fill="auto"/>
        <w:spacing w:before="0" w:after="0" w:line="240" w:lineRule="auto"/>
        <w:ind w:firstLine="720"/>
        <w:jc w:val="both"/>
        <w:rPr>
          <w:color w:val="auto"/>
        </w:rPr>
      </w:pPr>
      <w:r w:rsidRPr="00FC2582">
        <w:rPr>
          <w:color w:val="auto"/>
        </w:rPr>
        <w:t xml:space="preserve">Modulul va cuprinde </w:t>
      </w:r>
      <w:r w:rsidR="00B54BB8" w:rsidRPr="00FC2582">
        <w:rPr>
          <w:color w:val="auto"/>
        </w:rPr>
        <w:t>24</w:t>
      </w:r>
      <w:r w:rsidRPr="00FC2582">
        <w:rPr>
          <w:color w:val="auto"/>
        </w:rPr>
        <w:t xml:space="preserve"> de ore de activităţi tutoriale.</w:t>
      </w:r>
    </w:p>
    <w:p w:rsidR="00B54BB8" w:rsidRDefault="00B54BB8" w:rsidP="003A1DE8">
      <w:pPr>
        <w:pStyle w:val="Bodytext80"/>
        <w:shd w:val="clear" w:color="auto" w:fill="auto"/>
        <w:spacing w:before="0" w:after="0" w:line="240" w:lineRule="auto"/>
        <w:ind w:firstLine="720"/>
        <w:jc w:val="both"/>
        <w:rPr>
          <w:color w:val="auto"/>
        </w:rPr>
      </w:pPr>
    </w:p>
    <w:p w:rsidR="005F62E4" w:rsidRPr="00FC2582" w:rsidRDefault="005F62E4" w:rsidP="003A1DE8">
      <w:pPr>
        <w:pStyle w:val="Bodytext80"/>
        <w:shd w:val="clear" w:color="auto" w:fill="auto"/>
        <w:spacing w:before="0" w:after="0" w:line="240" w:lineRule="auto"/>
        <w:ind w:firstLine="720"/>
        <w:jc w:val="both"/>
        <w:rPr>
          <w:color w:val="auto"/>
        </w:rPr>
      </w:pPr>
    </w:p>
    <w:p w:rsidR="007A1BC0" w:rsidRPr="00FC2582" w:rsidRDefault="00CA67BE" w:rsidP="003A1DE8">
      <w:pPr>
        <w:pStyle w:val="Bodytext70"/>
        <w:shd w:val="clear" w:color="auto" w:fill="auto"/>
        <w:spacing w:after="0" w:line="240" w:lineRule="auto"/>
        <w:ind w:firstLine="720"/>
        <w:jc w:val="both"/>
        <w:rPr>
          <w:color w:val="auto"/>
        </w:rPr>
      </w:pPr>
      <w:r w:rsidRPr="00FC2582">
        <w:rPr>
          <w:color w:val="auto"/>
        </w:rPr>
        <w:t>Teme de pregătire:</w:t>
      </w:r>
    </w:p>
    <w:p w:rsidR="00567E27" w:rsidRPr="00FC2582" w:rsidRDefault="00567E27" w:rsidP="00567E27">
      <w:pPr>
        <w:pStyle w:val="Bodytext70"/>
        <w:shd w:val="clear" w:color="auto" w:fill="auto"/>
        <w:spacing w:after="0" w:line="240" w:lineRule="auto"/>
        <w:ind w:firstLine="720"/>
        <w:jc w:val="left"/>
        <w:rPr>
          <w:rStyle w:val="Bodytext71"/>
          <w:b/>
          <w:bCs/>
          <w:i/>
          <w:iCs/>
          <w:color w:val="auto"/>
        </w:rPr>
      </w:pPr>
    </w:p>
    <w:p w:rsidR="007A1BC0" w:rsidRPr="00FC2582" w:rsidRDefault="00567E27" w:rsidP="00567E27">
      <w:pPr>
        <w:pStyle w:val="Bodytext70"/>
        <w:shd w:val="clear" w:color="auto" w:fill="auto"/>
        <w:spacing w:after="0" w:line="240" w:lineRule="auto"/>
        <w:ind w:firstLine="0"/>
        <w:jc w:val="left"/>
        <w:rPr>
          <w:i w:val="0"/>
          <w:color w:val="auto"/>
        </w:rPr>
      </w:pPr>
      <w:r w:rsidRPr="00FC2582">
        <w:rPr>
          <w:rStyle w:val="Bodytext71"/>
          <w:bCs/>
          <w:i/>
          <w:iCs/>
          <w:color w:val="auto"/>
          <w:u w:val="none"/>
        </w:rPr>
        <w:t>Drept civil</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 xml:space="preserve">1. Aplicarea, interpretarea și efectele legii civile </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2. Despre persoane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 xml:space="preserve">2.1.Patrimoniul persoanei, mase patrimoniale și patrimonii de afectațiune, transferul </w:t>
      </w:r>
      <w:proofErr w:type="spellStart"/>
      <w:r w:rsidRPr="00FC2582">
        <w:rPr>
          <w:rFonts w:asciiTheme="minorHAnsi" w:hAnsiTheme="minorHAnsi" w:cstheme="minorHAnsi"/>
          <w:color w:val="auto"/>
        </w:rPr>
        <w:t>intrapatrimonial</w:t>
      </w:r>
      <w:proofErr w:type="spellEnd"/>
      <w:r w:rsidRPr="00FC2582">
        <w:rPr>
          <w:rFonts w:asciiTheme="minorHAnsi" w:hAnsiTheme="minorHAnsi" w:cstheme="minorHAnsi"/>
          <w:color w:val="auto"/>
        </w:rPr>
        <w:t xml:space="preserve">, patrimoniul profesional individual; </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2.2. Persoana fizică – capacitatea civilă, ocrotirea persoanei fizice (tutela, curatela);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2.3. Persoana juridică – capacitatea civilă a persoanei juridice;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2.4. Respectul vieții private și al demnității persoanei umane;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2.5. Apărarea drepturilor nepatrimoniale.</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3. Despre familie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3.1. Căsătoria și logodna</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3.1.1. Nulitatea absolută/relativă a căsătoriei;</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3.1.2. Desfacerea căsătoriei; cazurile de divorț; efectele divorțului cu privire la raporturile patrimoniale dintre soți și cu privire la raporturile dintre părinți și copiii lor minori;</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3.1.3. Regimurile matrimoniale. Locuința familiei. Regimul comunității legale. Regimul comunității convenționale. Regimul separației de bunuri. Modificarea/încetarea regimului matrimonial.</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3.2. Rudenia. Filiația. Acțiuni privind filiația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3.3.  Autoritatea părintească</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3.3.1. Drepturile și îndatoririle părintești (inclusiv obligația de întreținere);</w:t>
      </w:r>
    </w:p>
    <w:p w:rsidR="00567E27" w:rsidRPr="00FC2582" w:rsidRDefault="00567E27" w:rsidP="00567E27">
      <w:pPr>
        <w:pStyle w:val="Bodytext20"/>
        <w:tabs>
          <w:tab w:val="left" w:pos="-4680"/>
        </w:tabs>
        <w:spacing w:before="0" w:after="0" w:line="240" w:lineRule="auto"/>
        <w:ind w:firstLine="720"/>
        <w:rPr>
          <w:rFonts w:asciiTheme="minorHAnsi" w:hAnsiTheme="minorHAnsi" w:cstheme="minorHAnsi"/>
          <w:color w:val="auto"/>
        </w:rPr>
      </w:pPr>
      <w:r w:rsidRPr="00FC2582">
        <w:rPr>
          <w:rFonts w:asciiTheme="minorHAnsi" w:hAnsiTheme="minorHAnsi" w:cstheme="minorHAnsi"/>
          <w:color w:val="auto"/>
        </w:rPr>
        <w:tab/>
        <w:t>3.3.2. Exercitarea autorității părintești.</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4. Proprietatea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4.1. Clasificarea bunurilor. Produsele bunurilor. Drepturile reale;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4.2. Proprietatea privată: conținut, întindere, stingerea dreptului de proprietate privată; dispoziții tranzitorii (Legea nr. 71/2011);</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4.3. Proprietatea comună;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lastRenderedPageBreak/>
        <w:t>4.4. Proprietatea publică: caracteristici, drepturile reale corespunzătoare proprietății publice;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4.5. Apărarea dreptului de proprietate privată: acțiunea în revendicare (inclusiv în cazul proprietății comune), acțiunea negatorie, acțiunea confesorie; dispoziții tranzitorii (Legea nr. 71/2011);</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4.6. Regimul juridic al imobilelor preluate abuziv in perioada 6 martie 1945 - 22 decembrie 1989:</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4.6.1. evoluția cadrului legislativ privind măsurile cu caracter reparator;</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4.6.2. evoluția jurisprudenței instanțelor naționale – (inclusiv Hotărârea din 2 februarie 1995, pronunțată de Curtea Supremă de Justiție – secțiile Unite, Decizia nr. 33/2008, RIL - ICCJ);</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4.6.3</w:t>
      </w:r>
      <w:r w:rsidRPr="00FC2582">
        <w:rPr>
          <w:rFonts w:asciiTheme="minorHAnsi" w:hAnsiTheme="minorHAnsi" w:cstheme="minorHAnsi"/>
          <w:color w:val="auto"/>
        </w:rPr>
        <w:tab/>
        <w:t>jurisprudența Curții Europene a Drepturilor Omului în această materie.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4.7. Accesiunea imobiliară artificială;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4.8. Dezmembrămintele dreptului de proprietate: superficia, uzufructul, uzul și abitația, servituțile;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4.9. Posesia</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4.9.1. Viciile posesiei;</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 xml:space="preserve">4.9.2. Efectele posesiei: uzucapiunea imobiliară; dobândirea proprietății mobiliare prin posesia de bună-credință;  dobândirea fructelor prin posesia de bună-credință;  </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4.9.3. Acțiunile posesorii.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 xml:space="preserve">4.10. Cartea funciară. Înscrierea drepturilor tabulare: efecte, condiții, renunțarea la dreptul de proprietate, data producerii efectelor înscrierilor, conflictul dintre terți, persoanele împotriva cărora se poate face înscrierea, acțiunea în prestație tabulară, actele sau faptele care pot fi notate în cartea funciară, dispoziții tranzitorii – Legea nr. 71/2011. </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5. Contractul</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5.1. Categorii de contracte și încheierea contractului – momentul și locul, oferta și acceptarea, clauze externe, clauze standard, clauze neuzuale;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5.2. Condițiile esențiale pentru validitatea contractului: capacitatea de a contracta, consimțământul, obiectul, cauza;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5.3. Viciile de consimțământ: eroare, dol, violență, leziune;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 xml:space="preserve">5.4. Forma contractului - principiul consensualismului; forma cerută </w:t>
      </w:r>
      <w:r w:rsidRPr="00FC2582">
        <w:rPr>
          <w:rFonts w:asciiTheme="minorHAnsi" w:hAnsiTheme="minorHAnsi" w:cstheme="minorHAnsi"/>
          <w:i/>
          <w:color w:val="auto"/>
        </w:rPr>
        <w:t xml:space="preserve">ad </w:t>
      </w:r>
      <w:proofErr w:type="spellStart"/>
      <w:r w:rsidRPr="00FC2582">
        <w:rPr>
          <w:rFonts w:asciiTheme="minorHAnsi" w:hAnsiTheme="minorHAnsi" w:cstheme="minorHAnsi"/>
          <w:i/>
          <w:color w:val="auto"/>
        </w:rPr>
        <w:t>validitatem</w:t>
      </w:r>
      <w:proofErr w:type="spellEnd"/>
      <w:r w:rsidRPr="00FC2582">
        <w:rPr>
          <w:rFonts w:asciiTheme="minorHAnsi" w:hAnsiTheme="minorHAnsi" w:cstheme="minorHAnsi"/>
          <w:color w:val="auto"/>
        </w:rPr>
        <w:t xml:space="preserve">; corelația dintre forma „solemnă” şi forma „autentică”; forma cerută </w:t>
      </w:r>
      <w:r w:rsidRPr="00FC2582">
        <w:rPr>
          <w:rFonts w:asciiTheme="minorHAnsi" w:hAnsiTheme="minorHAnsi" w:cstheme="minorHAnsi"/>
          <w:i/>
          <w:color w:val="auto"/>
        </w:rPr>
        <w:t xml:space="preserve">ad </w:t>
      </w:r>
      <w:proofErr w:type="spellStart"/>
      <w:r w:rsidRPr="00FC2582">
        <w:rPr>
          <w:rFonts w:asciiTheme="minorHAnsi" w:hAnsiTheme="minorHAnsi" w:cstheme="minorHAnsi"/>
          <w:i/>
          <w:color w:val="auto"/>
        </w:rPr>
        <w:t>probationem</w:t>
      </w:r>
      <w:proofErr w:type="spellEnd"/>
      <w:r w:rsidRPr="00FC2582">
        <w:rPr>
          <w:rFonts w:asciiTheme="minorHAnsi" w:hAnsiTheme="minorHAnsi" w:cstheme="minorHAnsi"/>
          <w:color w:val="auto"/>
        </w:rPr>
        <w:t xml:space="preserve"> - aplicații practice; forma cerută pentru opozabilitate față de terți; contractele reale;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5.5. Nulitatea contractului - cauze, efecte (restituirea prestațiilor / excepții), validarea contractului, interpretarea contractului;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5.6. Efectele contractului: între părți/față de terți.</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6. Contracte speciale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6.1. Contractul de vânzare;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6.2. Contractul de locațiune &amp; reguli particulare în materia închirierii de locuințe;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6.3. Contractul de antrepriză;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lastRenderedPageBreak/>
        <w:t>6.4. Contractul de mandat;</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6.5. Contractul de împrumut;</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6.6. Contractul de întreținere;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6.7. Tranzacția.</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7. Despre moștenire și liberalități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7.1. Contractul de donație;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7.2. Condițiile generale ale dreptului de a moșteni;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7.3. Transmisiunea moștenirii - moștenitorii legali, acceptarea, renunțarea la moștenire, reprezentarea succesorală;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 xml:space="preserve">7.4. Testamentul – forme/revocare; </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7.5. Reducțiunea liberalităților excesive;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7.6. Petiția de ereditate și certificatul de moștenitor;</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7.7. Partajul succesoral și raportul donațiilor.</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 xml:space="preserve">8. Răspunderea civilă </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 xml:space="preserve">8.1. Răspunderea civilă delictuală </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8.1.1. Răspunderea civilă delictuală pentru fapta proprie;</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 xml:space="preserve">8.1.2. Răspunderea civilă delictuală pentru fapta altuia; </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8.1.3. Răspunderea civilă delictuală pentru prejudiciul cauzat de animale sau lucruri;</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8.1.4. Repararea prejudiciului în cazul răspunderii civile delictuale;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8.2. Răspunderea contractuală;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8.3. Cauze exoneratoare de răspundere civilă.</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9. Faptul juridic licit</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9.1. Gestiunea de afaceri;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9.2. Plata nedatorată;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9.3. Îmbogățirea fără justă cauză.</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10. Executarea obligațiilor</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10.1. Plata – subiectele plății, condiții, dovada, imputația plății, punerea în întârziere a debitorului;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10.2. Executarea silită a obligațiilor în natură/prin echivalent, punerea în întârziere a debitorului;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10.3. Prejudiciul – evaluare, repararea integrală, daunele interese moratorii și compensatorii, clauza penală/arvuna;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10.4. Rezoluțiunea/rezilierea și reducerea prestațiilor, cauze justificate de neexecutarea a obligațiilor contractuale;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10.5. Mijloace de protecție a drepturilor creditorului</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10.5.1</w:t>
      </w:r>
      <w:r w:rsidRPr="00FC2582">
        <w:rPr>
          <w:rFonts w:asciiTheme="minorHAnsi" w:hAnsiTheme="minorHAnsi" w:cstheme="minorHAnsi"/>
          <w:color w:val="auto"/>
        </w:rPr>
        <w:tab/>
        <w:t>Acțiunea oblică;</w:t>
      </w:r>
    </w:p>
    <w:p w:rsidR="00567E27" w:rsidRPr="00FC2582" w:rsidRDefault="00567E27" w:rsidP="00567E27">
      <w:pPr>
        <w:pStyle w:val="Bodytext20"/>
        <w:tabs>
          <w:tab w:val="left" w:pos="-4680"/>
        </w:tabs>
        <w:spacing w:before="0" w:after="0" w:line="240" w:lineRule="auto"/>
        <w:ind w:left="1440" w:firstLine="0"/>
        <w:rPr>
          <w:rFonts w:asciiTheme="minorHAnsi" w:hAnsiTheme="minorHAnsi" w:cstheme="minorHAnsi"/>
          <w:color w:val="auto"/>
        </w:rPr>
      </w:pPr>
      <w:r w:rsidRPr="00FC2582">
        <w:rPr>
          <w:rFonts w:asciiTheme="minorHAnsi" w:hAnsiTheme="minorHAnsi" w:cstheme="minorHAnsi"/>
          <w:color w:val="auto"/>
        </w:rPr>
        <w:t>10.5.2</w:t>
      </w:r>
      <w:r w:rsidRPr="00FC2582">
        <w:rPr>
          <w:rFonts w:asciiTheme="minorHAnsi" w:hAnsiTheme="minorHAnsi" w:cstheme="minorHAnsi"/>
          <w:color w:val="auto"/>
        </w:rPr>
        <w:tab/>
        <w:t>Acțiunea revocatorie.</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11. Modalitățile obligațiilor</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12. Transmisiunea și transformarea obligațiilor</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12.1. Cesiunea de creanță;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12.2. Subrogația;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12.3. Preluarea datoriei;</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12.4. Novația.</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lastRenderedPageBreak/>
        <w:t>13. Stingerea obligațiilor</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13.1. Compensația;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13.2. Confuziunea.</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14. Restituirea prestațiilor</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15. Prescripția extinctivă</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15.1. Regim juridic. Termene;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15.2. Cursul prescripției extinctive: începutul, suspendarea, întreruperea;</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15.3. Regimul juridic al termenelor de decădere.</w:t>
      </w:r>
    </w:p>
    <w:p w:rsidR="00567E27" w:rsidRPr="00FC2582" w:rsidRDefault="00567E27" w:rsidP="00567E27">
      <w:pPr>
        <w:pStyle w:val="Bodytext20"/>
        <w:tabs>
          <w:tab w:val="left" w:pos="-4680"/>
        </w:tabs>
        <w:spacing w:before="0" w:after="0" w:line="240" w:lineRule="auto"/>
        <w:ind w:firstLine="0"/>
        <w:rPr>
          <w:rFonts w:asciiTheme="minorHAnsi" w:hAnsiTheme="minorHAnsi" w:cstheme="minorHAnsi"/>
          <w:color w:val="auto"/>
        </w:rPr>
      </w:pPr>
      <w:r w:rsidRPr="00FC2582">
        <w:rPr>
          <w:rFonts w:asciiTheme="minorHAnsi" w:hAnsiTheme="minorHAnsi" w:cstheme="minorHAnsi"/>
          <w:color w:val="auto"/>
        </w:rPr>
        <w:t>16. Garanții reale și garanții personale</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16.1. Ipoteca imobiliară – constituire, drepturile și obligațiile părților;</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16.2. Ipoteca mobiliară – constituire, drepturile și obligațiile părților;</w:t>
      </w:r>
    </w:p>
    <w:p w:rsidR="00567E27" w:rsidRPr="00FC2582" w:rsidRDefault="00567E27" w:rsidP="00567E27">
      <w:pPr>
        <w:pStyle w:val="Bodytext20"/>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16.3. Privilegiile;</w:t>
      </w:r>
    </w:p>
    <w:p w:rsidR="007A1BC0" w:rsidRPr="00FC2582" w:rsidRDefault="00567E27" w:rsidP="00567E27">
      <w:pPr>
        <w:pStyle w:val="Bodytext20"/>
        <w:shd w:val="clear" w:color="auto" w:fill="auto"/>
        <w:tabs>
          <w:tab w:val="left" w:pos="-4680"/>
        </w:tabs>
        <w:spacing w:before="0" w:after="0" w:line="240" w:lineRule="auto"/>
        <w:ind w:left="720" w:firstLine="0"/>
        <w:rPr>
          <w:rFonts w:asciiTheme="minorHAnsi" w:hAnsiTheme="minorHAnsi" w:cstheme="minorHAnsi"/>
          <w:color w:val="auto"/>
        </w:rPr>
      </w:pPr>
      <w:r w:rsidRPr="00FC2582">
        <w:rPr>
          <w:rFonts w:asciiTheme="minorHAnsi" w:hAnsiTheme="minorHAnsi" w:cstheme="minorHAnsi"/>
          <w:color w:val="auto"/>
        </w:rPr>
        <w:t>16.4. Fidejusiunea.</w:t>
      </w:r>
    </w:p>
    <w:p w:rsidR="00567E27" w:rsidRPr="00FC2582" w:rsidRDefault="00567E27" w:rsidP="00567E27">
      <w:pPr>
        <w:pStyle w:val="Bodytext20"/>
        <w:shd w:val="clear" w:color="auto" w:fill="auto"/>
        <w:tabs>
          <w:tab w:val="left" w:pos="-4680"/>
        </w:tabs>
        <w:spacing w:before="0" w:after="0" w:line="240" w:lineRule="auto"/>
        <w:ind w:firstLine="0"/>
        <w:rPr>
          <w:color w:val="auto"/>
        </w:rPr>
      </w:pPr>
    </w:p>
    <w:p w:rsidR="00567E27" w:rsidRDefault="00567E27" w:rsidP="00567E27">
      <w:pPr>
        <w:pStyle w:val="Bodytext70"/>
        <w:shd w:val="clear" w:color="auto" w:fill="auto"/>
        <w:spacing w:after="0" w:line="240" w:lineRule="auto"/>
        <w:ind w:firstLine="0"/>
        <w:jc w:val="left"/>
        <w:rPr>
          <w:rStyle w:val="Bodytext71"/>
          <w:bCs/>
          <w:i/>
          <w:iCs/>
          <w:color w:val="auto"/>
          <w:u w:val="none"/>
        </w:rPr>
      </w:pPr>
    </w:p>
    <w:p w:rsidR="007A1BC0" w:rsidRPr="00FC2582" w:rsidRDefault="00567E27" w:rsidP="00550B95">
      <w:pPr>
        <w:pStyle w:val="Bodytext70"/>
        <w:shd w:val="clear" w:color="auto" w:fill="auto"/>
        <w:spacing w:after="0" w:line="240" w:lineRule="auto"/>
        <w:ind w:firstLine="0"/>
        <w:jc w:val="left"/>
        <w:rPr>
          <w:color w:val="auto"/>
        </w:rPr>
      </w:pPr>
      <w:r w:rsidRPr="00FC2582">
        <w:rPr>
          <w:rStyle w:val="Bodytext71"/>
          <w:bCs/>
          <w:i/>
          <w:iCs/>
          <w:color w:val="auto"/>
          <w:u w:val="none"/>
        </w:rPr>
        <w:t>Drept procesual civil</w:t>
      </w:r>
    </w:p>
    <w:p w:rsidR="00567E27" w:rsidRPr="00FC2582" w:rsidRDefault="00567E27" w:rsidP="00550B95">
      <w:pPr>
        <w:rPr>
          <w:rFonts w:asciiTheme="minorHAnsi" w:hAnsiTheme="minorHAnsi" w:cstheme="minorHAnsi"/>
          <w:color w:val="auto"/>
          <w:sz w:val="26"/>
          <w:szCs w:val="26"/>
        </w:rPr>
      </w:pPr>
    </w:p>
    <w:p w:rsidR="00567E27" w:rsidRPr="00FC2582" w:rsidRDefault="00567E27" w:rsidP="00550B95">
      <w:pPr>
        <w:pStyle w:val="IntenseQuote"/>
        <w:spacing w:before="0" w:after="0" w:line="240" w:lineRule="auto"/>
        <w:ind w:left="0" w:right="0"/>
        <w:rPr>
          <w:rFonts w:cstheme="minorHAnsi"/>
          <w:color w:val="auto"/>
          <w:sz w:val="26"/>
          <w:szCs w:val="26"/>
        </w:rPr>
      </w:pPr>
      <w:r w:rsidRPr="00FC2582">
        <w:rPr>
          <w:rFonts w:cstheme="minorHAnsi"/>
          <w:color w:val="auto"/>
          <w:sz w:val="26"/>
          <w:szCs w:val="26"/>
        </w:rPr>
        <w:t xml:space="preserve">Actele de procedură din perspectiva activității avocatului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 xml:space="preserve">1.Cererea de chemare în judecată.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1.1. Aspecte anterioare formulării cererii de chemare în judecată. Identificarea corectă de către avocat a obiectului acțiunii pe care intenționează să o promoveze prin introducerea unei cereri de chemare în judecată (obiectul cererii de chemare în judecată, existența unor proceduri prealabile, competența de judecată, taxa judiciară de timbru, reguli aplicabile).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1.2. Condițiile de formă ale cererii de chemare în judecată. Nulitatea cererii de chemare în judecata. Verificarea cererii de chemare în judecată și regularizarea acesteia. Identificarea proceselor in care nu se aplica regularizarea. Fixarea primului termen de judecată. Etapa scrisă; sancțiunile ce pot interveni in etapa regularizării cererii (examen al practicii judiciare in materie)</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1.3. Condiții de formă în cazul anumitor cereri de chemare în judecată: - în materie de divorț; - în materie de partaj; - în contencios-administrativ; ordonanța de plată; ordonanță președințială; evacuarea din imobilele folosite sau ocupate fără drept; măsuri asigurătorii; cauțiunea judiciară – modalitatea de consemnare și procedura de restituire.</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 xml:space="preserve">2.Aspecte procedurale specifice cererilor de intervenție și de chemare a terților în procesul civil.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Aspecte comune și aspecte diferite ale cererii de intervenție față de cererea de chemare în judecată (obiectul, competența, taxa de timbru, procedura de judecată, căi de atac etc. ).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2.2.</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Intervenția forțată. </w:t>
      </w:r>
    </w:p>
    <w:p w:rsidR="00567E27" w:rsidRPr="00FC2582" w:rsidRDefault="00567E27" w:rsidP="00550B95">
      <w:pPr>
        <w:ind w:firstLine="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Chemarea în judecată a altei persoane. </w:t>
      </w:r>
    </w:p>
    <w:p w:rsidR="00567E27" w:rsidRPr="00FC2582" w:rsidRDefault="00567E27" w:rsidP="00550B95">
      <w:pPr>
        <w:ind w:firstLine="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Chemarea în garanție. </w:t>
      </w:r>
    </w:p>
    <w:p w:rsidR="00567E27" w:rsidRPr="00FC2582" w:rsidRDefault="00567E27" w:rsidP="00550B95">
      <w:pPr>
        <w:ind w:firstLine="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Arătarea titularului dreptului. </w:t>
      </w:r>
    </w:p>
    <w:p w:rsidR="00567E27" w:rsidRPr="00FC2582" w:rsidRDefault="00567E27" w:rsidP="00550B95">
      <w:pPr>
        <w:ind w:firstLine="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Introducerea forțată în cauză din oficiu a altei persoane.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lastRenderedPageBreak/>
        <w:t xml:space="preserve">3. Specificul actelor de dispoziție.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 xml:space="preserve">4. Aspecte procedurale specifice actelor de citare și comunicare a actelor de procedură .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4.1.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Vicii relative la citare și comunicare - vicii privind forma și vicii privind termenele.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4.2.</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Consecințele nelegalei citări sau comunicări a actelor de procedură.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5.</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Nulitatea actelor de procedură.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5.1.Nulitate condiționată. Nulitate necondiționată.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5.2.Îndreptarea neregularităților actului de procedură.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5.3.Invocarea nulității.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5.4.Efectele nulității. </w:t>
      </w:r>
    </w:p>
    <w:p w:rsidR="00567E27" w:rsidRPr="00FC2582" w:rsidRDefault="00567E27" w:rsidP="00550B95">
      <w:pPr>
        <w:rPr>
          <w:rFonts w:asciiTheme="minorHAnsi" w:hAnsiTheme="minorHAnsi" w:cstheme="minorHAnsi"/>
          <w:b/>
          <w:color w:val="auto"/>
          <w:sz w:val="26"/>
          <w:szCs w:val="26"/>
        </w:rPr>
      </w:pPr>
      <w:r w:rsidRPr="00FC2582">
        <w:rPr>
          <w:rFonts w:asciiTheme="minorHAnsi" w:hAnsiTheme="minorHAnsi" w:cstheme="minorHAnsi"/>
          <w:b/>
          <w:color w:val="auto"/>
          <w:sz w:val="26"/>
          <w:szCs w:val="26"/>
        </w:rPr>
        <w:t>6.</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Termenele procedurale. </w:t>
      </w:r>
    </w:p>
    <w:p w:rsidR="00567E27"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6.1.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Stabilirea termenelor. Împlinirea termenelor. Acte depuse la poștă, servicii specializate de curierat, unități militare sau locuri de deținere. Curgerea termenului. Prelungirea acestuia. Nerespectarea termenului. Sancțiuni. Repunerea în termen.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7.</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Condiții de formă privind cererile de exercitare a căilor de atac. Termenul pentru exercitarea căilor de atac. </w:t>
      </w:r>
    </w:p>
    <w:p w:rsidR="00567E27" w:rsidRPr="00FC2582" w:rsidRDefault="00567E27" w:rsidP="00550B95">
      <w:pPr>
        <w:pStyle w:val="IntenseQuote"/>
        <w:spacing w:before="0" w:after="0" w:line="240" w:lineRule="auto"/>
        <w:ind w:left="0" w:right="0"/>
        <w:rPr>
          <w:rFonts w:cstheme="minorHAnsi"/>
          <w:color w:val="auto"/>
          <w:sz w:val="26"/>
          <w:szCs w:val="26"/>
        </w:rPr>
      </w:pPr>
    </w:p>
    <w:p w:rsidR="00567E27" w:rsidRPr="00FC2582" w:rsidRDefault="00567E27" w:rsidP="00550B95">
      <w:pPr>
        <w:pStyle w:val="IntenseQuote"/>
        <w:spacing w:before="0" w:after="0" w:line="240" w:lineRule="auto"/>
        <w:ind w:left="0" w:right="0"/>
        <w:rPr>
          <w:rFonts w:cstheme="minorHAnsi"/>
          <w:color w:val="auto"/>
          <w:sz w:val="26"/>
          <w:szCs w:val="26"/>
        </w:rPr>
      </w:pPr>
      <w:r w:rsidRPr="00FC2582">
        <w:rPr>
          <w:rFonts w:cstheme="minorHAnsi"/>
          <w:color w:val="auto"/>
          <w:sz w:val="26"/>
          <w:szCs w:val="26"/>
        </w:rPr>
        <w:t xml:space="preserve">Mijloace procesuale privind apărarea în procesul civil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1.</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Apărări de fond și excepții.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1.1.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Regimul juridic diferit al excepțiilor și al apărărilor de fond. Implicațiile acestei distincții în formularea de către avocat a actelor specifice apărării în procesul civil (momentul și modalitatea de invocare, modalitatea în care instanța este obligată să analizeze apărările de fond sau excepțiile invocate de părți ). </w:t>
      </w:r>
    </w:p>
    <w:p w:rsidR="00550B95"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1.2.</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Regimul juridic al unor apărări de fond care prin terminologia consacrată induc ideea de excepție: </w:t>
      </w:r>
    </w:p>
    <w:p w:rsidR="00550B95" w:rsidRPr="00FC2582" w:rsidRDefault="00550B95" w:rsidP="00550B95">
      <w:pPr>
        <w:ind w:left="360" w:firstLine="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proofErr w:type="spellStart"/>
      <w:r w:rsidR="00567E27" w:rsidRPr="00FC2582">
        <w:rPr>
          <w:rFonts w:asciiTheme="minorHAnsi" w:hAnsiTheme="minorHAnsi" w:cstheme="minorHAnsi"/>
          <w:color w:val="auto"/>
          <w:sz w:val="26"/>
          <w:szCs w:val="26"/>
        </w:rPr>
        <w:t>exceptio</w:t>
      </w:r>
      <w:proofErr w:type="spellEnd"/>
      <w:r w:rsidR="00567E27" w:rsidRPr="00FC2582">
        <w:rPr>
          <w:rFonts w:asciiTheme="minorHAnsi" w:hAnsiTheme="minorHAnsi" w:cstheme="minorHAnsi"/>
          <w:color w:val="auto"/>
          <w:sz w:val="26"/>
          <w:szCs w:val="26"/>
        </w:rPr>
        <w:t xml:space="preserve"> </w:t>
      </w:r>
      <w:proofErr w:type="spellStart"/>
      <w:r w:rsidR="00567E27" w:rsidRPr="00FC2582">
        <w:rPr>
          <w:rFonts w:asciiTheme="minorHAnsi" w:hAnsiTheme="minorHAnsi" w:cstheme="minorHAnsi"/>
          <w:color w:val="auto"/>
          <w:sz w:val="26"/>
          <w:szCs w:val="26"/>
        </w:rPr>
        <w:t>mali</w:t>
      </w:r>
      <w:proofErr w:type="spellEnd"/>
      <w:r w:rsidR="00567E27" w:rsidRPr="00FC2582">
        <w:rPr>
          <w:rFonts w:asciiTheme="minorHAnsi" w:hAnsiTheme="minorHAnsi" w:cstheme="minorHAnsi"/>
          <w:color w:val="auto"/>
          <w:sz w:val="26"/>
          <w:szCs w:val="26"/>
        </w:rPr>
        <w:t xml:space="preserve"> </w:t>
      </w:r>
      <w:proofErr w:type="spellStart"/>
      <w:r w:rsidR="00567E27" w:rsidRPr="00FC2582">
        <w:rPr>
          <w:rFonts w:asciiTheme="minorHAnsi" w:hAnsiTheme="minorHAnsi" w:cstheme="minorHAnsi"/>
          <w:color w:val="auto"/>
          <w:sz w:val="26"/>
          <w:szCs w:val="26"/>
        </w:rPr>
        <w:t>processus</w:t>
      </w:r>
      <w:proofErr w:type="spellEnd"/>
      <w:r w:rsidR="00567E27" w:rsidRPr="00FC2582">
        <w:rPr>
          <w:rFonts w:asciiTheme="minorHAnsi" w:hAnsiTheme="minorHAnsi" w:cstheme="minorHAnsi"/>
          <w:color w:val="auto"/>
          <w:sz w:val="26"/>
          <w:szCs w:val="26"/>
        </w:rPr>
        <w:t xml:space="preserve">; </w:t>
      </w:r>
    </w:p>
    <w:p w:rsidR="00550B95" w:rsidRPr="00FC2582" w:rsidRDefault="00567E27" w:rsidP="00550B95">
      <w:pPr>
        <w:ind w:left="360" w:firstLine="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excepția de neexecutare a contractului; </w:t>
      </w:r>
    </w:p>
    <w:p w:rsidR="00550B95" w:rsidRPr="00FC2582" w:rsidRDefault="00567E27" w:rsidP="00550B95">
      <w:pPr>
        <w:ind w:left="360" w:firstLine="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excepția de nelegalitate a actului administrativ; </w:t>
      </w:r>
    </w:p>
    <w:p w:rsidR="00550B95" w:rsidRPr="00FC2582" w:rsidRDefault="00567E27" w:rsidP="00550B95">
      <w:pPr>
        <w:ind w:left="360" w:firstLine="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excepția de neconstituționalitate</w:t>
      </w:r>
      <w:r w:rsidR="00550B95" w:rsidRPr="00FC2582">
        <w:rPr>
          <w:rFonts w:asciiTheme="minorHAnsi" w:hAnsiTheme="minorHAnsi" w:cstheme="minorHAnsi"/>
          <w:color w:val="auto"/>
          <w:sz w:val="26"/>
          <w:szCs w:val="26"/>
        </w:rPr>
        <w:t>;</w:t>
      </w:r>
      <w:r w:rsidRPr="00FC2582">
        <w:rPr>
          <w:rFonts w:asciiTheme="minorHAnsi" w:hAnsiTheme="minorHAnsi" w:cstheme="minorHAnsi"/>
          <w:color w:val="auto"/>
          <w:sz w:val="26"/>
          <w:szCs w:val="26"/>
        </w:rPr>
        <w:t xml:space="preserve"> </w:t>
      </w:r>
    </w:p>
    <w:p w:rsidR="00567E27" w:rsidRPr="00FC2582" w:rsidRDefault="00550B95" w:rsidP="00550B95">
      <w:pPr>
        <w:ind w:left="360" w:firstLine="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r w:rsidR="00567E27" w:rsidRPr="00FC2582">
        <w:rPr>
          <w:rFonts w:asciiTheme="minorHAnsi" w:hAnsiTheme="minorHAnsi" w:cstheme="minorHAnsi"/>
          <w:color w:val="auto"/>
          <w:sz w:val="26"/>
          <w:szCs w:val="26"/>
        </w:rPr>
        <w:t xml:space="preserve">excepția decăderii de drept substanțial, etc. </w:t>
      </w:r>
    </w:p>
    <w:p w:rsidR="00550B95"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1.3.</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Analizarea problemelor ridicate în practica</w:t>
      </w:r>
      <w:r w:rsidR="00550B95" w:rsidRPr="00FC2582">
        <w:rPr>
          <w:rFonts w:asciiTheme="minorHAnsi" w:hAnsiTheme="minorHAnsi" w:cstheme="minorHAnsi"/>
          <w:color w:val="auto"/>
          <w:sz w:val="26"/>
          <w:szCs w:val="26"/>
        </w:rPr>
        <w:t xml:space="preserve"> judiciară de diferite excepții</w:t>
      </w:r>
      <w:r w:rsidRPr="00FC2582">
        <w:rPr>
          <w:rFonts w:asciiTheme="minorHAnsi" w:hAnsiTheme="minorHAnsi" w:cstheme="minorHAnsi"/>
          <w:color w:val="auto"/>
          <w:sz w:val="26"/>
          <w:szCs w:val="26"/>
        </w:rPr>
        <w:t>:</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excepții privind condițiile d</w:t>
      </w:r>
      <w:r w:rsidR="00550B95" w:rsidRPr="00FC2582">
        <w:rPr>
          <w:rFonts w:asciiTheme="minorHAnsi" w:hAnsiTheme="minorHAnsi" w:cstheme="minorHAnsi"/>
          <w:color w:val="auto"/>
          <w:sz w:val="26"/>
          <w:szCs w:val="26"/>
        </w:rPr>
        <w:t>e exercițiu ale acțiunii civile</w:t>
      </w:r>
      <w:r w:rsidRPr="00FC2582">
        <w:rPr>
          <w:rFonts w:asciiTheme="minorHAnsi" w:hAnsiTheme="minorHAnsi" w:cstheme="minorHAnsi"/>
          <w:color w:val="auto"/>
          <w:sz w:val="26"/>
          <w:szCs w:val="26"/>
        </w:rPr>
        <w:t xml:space="preserve">; </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excepția autorit</w:t>
      </w:r>
      <w:r w:rsidR="00550B95" w:rsidRPr="00FC2582">
        <w:rPr>
          <w:rFonts w:asciiTheme="minorHAnsi" w:hAnsiTheme="minorHAnsi" w:cstheme="minorHAnsi"/>
          <w:color w:val="auto"/>
          <w:sz w:val="26"/>
          <w:szCs w:val="26"/>
        </w:rPr>
        <w:t>ății de lucru judecat</w:t>
      </w: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excepții pri</w:t>
      </w:r>
      <w:r w:rsidR="00550B95" w:rsidRPr="00FC2582">
        <w:rPr>
          <w:rFonts w:asciiTheme="minorHAnsi" w:hAnsiTheme="minorHAnsi" w:cstheme="minorHAnsi"/>
          <w:color w:val="auto"/>
          <w:sz w:val="26"/>
          <w:szCs w:val="26"/>
        </w:rPr>
        <w:t>vitoare la competența instanței</w:t>
      </w:r>
      <w:r w:rsidRPr="00FC2582">
        <w:rPr>
          <w:rFonts w:asciiTheme="minorHAnsi" w:hAnsiTheme="minorHAnsi" w:cstheme="minorHAnsi"/>
          <w:color w:val="auto"/>
          <w:sz w:val="26"/>
          <w:szCs w:val="26"/>
        </w:rPr>
        <w:t>;</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excepții privitoare la compunerea și constituirea instanței;</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excepția de imunitate de jurisdicție; </w:t>
      </w:r>
    </w:p>
    <w:p w:rsidR="00567E27"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excepția abuzului de drept procesual, excepția de conexitate și litispendență</w:t>
      </w:r>
    </w:p>
    <w:p w:rsidR="00550B95" w:rsidRPr="00FC2582" w:rsidRDefault="00567E27" w:rsidP="00550B95">
      <w:pPr>
        <w:jc w:val="both"/>
        <w:rPr>
          <w:rFonts w:asciiTheme="minorHAnsi" w:hAnsiTheme="minorHAnsi" w:cstheme="minorHAnsi"/>
          <w:color w:val="auto"/>
          <w:sz w:val="26"/>
          <w:szCs w:val="26"/>
        </w:rPr>
      </w:pPr>
      <w:r w:rsidRPr="00FC2582">
        <w:rPr>
          <w:rFonts w:asciiTheme="minorHAnsi" w:hAnsiTheme="minorHAnsi" w:cstheme="minorHAnsi"/>
          <w:b/>
          <w:color w:val="auto"/>
          <w:sz w:val="26"/>
          <w:szCs w:val="26"/>
        </w:rPr>
        <w:t>2.</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Tehnici de adaptare a mijloacelor de apărare în cazul unor proceduri speciale</w:t>
      </w:r>
      <w:r w:rsidRPr="00FC2582">
        <w:rPr>
          <w:rFonts w:asciiTheme="minorHAnsi" w:hAnsiTheme="minorHAnsi" w:cstheme="minorHAnsi"/>
          <w:color w:val="auto"/>
          <w:sz w:val="26"/>
          <w:szCs w:val="26"/>
        </w:rPr>
        <w:t xml:space="preserve"> : </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specificitatea apărărilor în cazul ordonanței președințiale; </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apărări specifice ordonanței de plată ; </w:t>
      </w:r>
    </w:p>
    <w:p w:rsidR="00550B95"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apărări specifice procedurilor ce implică măsuri </w:t>
      </w:r>
      <w:r w:rsidR="00550B95" w:rsidRPr="00FC2582">
        <w:rPr>
          <w:rFonts w:asciiTheme="minorHAnsi" w:hAnsiTheme="minorHAnsi" w:cstheme="minorHAnsi"/>
          <w:color w:val="auto"/>
          <w:sz w:val="26"/>
          <w:szCs w:val="26"/>
        </w:rPr>
        <w:t>jurisdicționale</w:t>
      </w:r>
      <w:r w:rsidRPr="00FC2582">
        <w:rPr>
          <w:rFonts w:asciiTheme="minorHAnsi" w:hAnsiTheme="minorHAnsi" w:cstheme="minorHAnsi"/>
          <w:color w:val="auto"/>
          <w:sz w:val="26"/>
          <w:szCs w:val="26"/>
        </w:rPr>
        <w:t xml:space="preserve"> provizorii (măsuri asigurătorii, asigurarea probelor, cereri de suspendare a executării </w:t>
      </w:r>
      <w:r w:rsidRPr="00FC2582">
        <w:rPr>
          <w:rFonts w:asciiTheme="minorHAnsi" w:hAnsiTheme="minorHAnsi" w:cstheme="minorHAnsi"/>
          <w:color w:val="auto"/>
          <w:sz w:val="26"/>
          <w:szCs w:val="26"/>
        </w:rPr>
        <w:lastRenderedPageBreak/>
        <w:t>hotărârilor judecătorești</w:t>
      </w:r>
      <w:r w:rsidR="00550B95" w:rsidRPr="00FC2582">
        <w:rPr>
          <w:rFonts w:asciiTheme="minorHAnsi" w:hAnsiTheme="minorHAnsi" w:cstheme="minorHAnsi"/>
          <w:color w:val="auto"/>
          <w:sz w:val="26"/>
          <w:szCs w:val="26"/>
        </w:rPr>
        <w:t>);</w:t>
      </w:r>
    </w:p>
    <w:p w:rsidR="00567E27" w:rsidRPr="00FC2582" w:rsidRDefault="00567E27" w:rsidP="00550B95">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apărări specifice proceselor angajate în materia ieșirii din indiviziune, divorțului. </w:t>
      </w:r>
    </w:p>
    <w:p w:rsidR="00567E27" w:rsidRPr="00FC2582" w:rsidRDefault="00567E27" w:rsidP="00550B95">
      <w:pPr>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p>
    <w:p w:rsidR="00567E27" w:rsidRPr="00FC2582" w:rsidRDefault="00567E27" w:rsidP="00550B95">
      <w:pPr>
        <w:pStyle w:val="IntenseQuote"/>
        <w:spacing w:before="0" w:after="0" w:line="240" w:lineRule="auto"/>
        <w:ind w:left="0" w:right="0"/>
        <w:rPr>
          <w:rFonts w:cstheme="minorHAnsi"/>
          <w:color w:val="auto"/>
          <w:sz w:val="26"/>
          <w:szCs w:val="26"/>
        </w:rPr>
      </w:pPr>
      <w:r w:rsidRPr="00FC2582">
        <w:rPr>
          <w:rFonts w:cstheme="minorHAnsi"/>
          <w:color w:val="auto"/>
          <w:sz w:val="26"/>
          <w:szCs w:val="26"/>
        </w:rPr>
        <w:t xml:space="preserve">Probele în procesul civil </w:t>
      </w:r>
    </w:p>
    <w:p w:rsidR="00567E27" w:rsidRPr="00FC2582" w:rsidRDefault="00567E27" w:rsidP="00550B95">
      <w:pPr>
        <w:rPr>
          <w:rFonts w:asciiTheme="minorHAnsi" w:hAnsiTheme="minorHAnsi" w:cstheme="minorHAnsi"/>
          <w:b/>
          <w:color w:val="auto"/>
          <w:sz w:val="26"/>
          <w:szCs w:val="26"/>
        </w:rPr>
      </w:pPr>
      <w:r w:rsidRPr="00FC2582">
        <w:rPr>
          <w:rFonts w:asciiTheme="minorHAnsi" w:hAnsiTheme="minorHAnsi" w:cstheme="minorHAnsi"/>
          <w:b/>
          <w:color w:val="auto"/>
          <w:sz w:val="26"/>
          <w:szCs w:val="26"/>
        </w:rPr>
        <w:t>1.</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Propunerea probelor în vederea încuviințării și administrării acestora.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Termenul până la care se pot propune probe în primă instanță,în apel,în recurs. Sancțiunea nerespectării termenului.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1.2.</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Posibilitatea de a propune probe peste termen.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1.3.</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Analizarea admisibilității probelor.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1.4.</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Justificarea pertinenței și concludenței probelor solicitate.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1.5.</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Convenții asupra probelor.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1.6.</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Încuviințarea probelor.</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Natura încheierii de admitere a probelor. Posibilitatea instanței de a reveni motivat asupra probelor încuviințate. </w:t>
      </w:r>
    </w:p>
    <w:p w:rsidR="00567E27" w:rsidRPr="00FC2582" w:rsidRDefault="00567E27" w:rsidP="00550B95">
      <w:pPr>
        <w:ind w:left="360"/>
        <w:rPr>
          <w:rFonts w:asciiTheme="minorHAnsi" w:hAnsiTheme="minorHAnsi" w:cstheme="minorHAnsi"/>
          <w:color w:val="auto"/>
          <w:sz w:val="26"/>
          <w:szCs w:val="26"/>
        </w:rPr>
      </w:pPr>
      <w:r w:rsidRPr="00FC2582">
        <w:rPr>
          <w:rFonts w:asciiTheme="minorHAnsi" w:hAnsiTheme="minorHAnsi" w:cstheme="minorHAnsi"/>
          <w:color w:val="auto"/>
          <w:sz w:val="26"/>
          <w:szCs w:val="26"/>
        </w:rPr>
        <w:t>1.7.</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Asigurarea probelor și constatarea unei situații de fapt</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 xml:space="preserve">2.Tehnici de administrare a probelor.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Administrarea probei cu înscrisuri.</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Verificarea înscrisurilor (recunoașterea sau contestarea înscrisului sub </w:t>
      </w:r>
      <w:r w:rsidR="00550B95" w:rsidRPr="00FC2582">
        <w:rPr>
          <w:rFonts w:asciiTheme="minorHAnsi" w:hAnsiTheme="minorHAnsi" w:cstheme="minorHAnsi"/>
          <w:color w:val="auto"/>
          <w:sz w:val="26"/>
          <w:szCs w:val="26"/>
        </w:rPr>
        <w:t>semnătură</w:t>
      </w:r>
      <w:r w:rsidRPr="00FC2582">
        <w:rPr>
          <w:rFonts w:asciiTheme="minorHAnsi" w:hAnsiTheme="minorHAnsi" w:cstheme="minorHAnsi"/>
          <w:color w:val="auto"/>
          <w:sz w:val="26"/>
          <w:szCs w:val="26"/>
        </w:rPr>
        <w:t xml:space="preserve"> privată, procedura de verificare, denunțarea înscrisului ca fals,cercetarea falsului pe cale incidentală în cazul în care constatarea infracțiunii nu se poate face printr-o hotărâre penală). Înscrisul autentic și înscrisul sub semnătură privată-distincții și implicații sub aspectul probatoriului.</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Înscrisurile în formă electronică-valoare probatorie. Înscrisurile pe suport informatic-valoare probatorie.</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Duplicatele și copiile de pe înscrisurile autentice sau sub semnătură privată.</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Înscrisurile recognitive sau reînnoitoare și regimul altor înscrisuri. Înscrisuri pe suport informatic</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2.2.</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Tehnica administrării probei prin depozițiile martorilor.</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Aspecte privind forța juridică, aprecierea și gradul de credibilitate al probei prin depozițiile martorilor în contextul sociocultural actual.</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Tipologia martorului, adaptarea întrebărilor față de tipologia martorului. Mărturii directe și indirecte-relevanța probatorie.</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Confruntarea martorilor.</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2.3.</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Interogatoriul.</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Luarea interogatoriului în cazul persoanelor juridice. Luarea interogatoriului părții aflate în străinătate. Luarea interogatoriului prin judecător delegat sau comisie rogatorie. Consecințele procesuale ale neprezentării la interogatoriu și ale refuzului de a răspunde. Sancțiunea în cazul nedepunerii interogatoriului în vederea administrării acestuia, în situația persoanelor fizice și juridice. Forma probantă a mărturisirii în formă calificată și în formă complexă.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2.4.</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Expertiza.</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Expertiza judiciară și extrajudiciară-forța probatorie a expertizei extrajudiciare.</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Cazuri în care expertiza este obligatorie </w:t>
      </w:r>
      <w:r w:rsidR="00550B95" w:rsidRPr="00FC2582">
        <w:rPr>
          <w:rFonts w:asciiTheme="minorHAnsi" w:hAnsiTheme="minorHAnsi" w:cstheme="minorHAnsi"/>
          <w:color w:val="auto"/>
          <w:sz w:val="26"/>
          <w:szCs w:val="26"/>
        </w:rPr>
        <w:t>(</w:t>
      </w:r>
      <w:r w:rsidRPr="00FC2582">
        <w:rPr>
          <w:rFonts w:asciiTheme="minorHAnsi" w:hAnsiTheme="minorHAnsi" w:cstheme="minorHAnsi"/>
          <w:color w:val="auto"/>
          <w:sz w:val="26"/>
          <w:szCs w:val="26"/>
        </w:rPr>
        <w:t xml:space="preserve">expertiza psihiatrică în materia punerii sub interdicție, expertiza prețuitoare a bunului gajat, expertiza pentru stabilirea raportului în natură în cazul unei societăți comerciale cu răspundere limitată cu asociat unic și altor cazuri în materia societăților comerciale, expertiza pentru stabilirea valorii imobilului pentru acordarea măsurilor reparatorii în echivalent conform Legii nr.10/2001, în materie de expropriere) și cazuri în care expertiza este considerată în jurisprudență ca fiind o probă indispensabilă </w:t>
      </w:r>
      <w:r w:rsidR="00550B95" w:rsidRPr="00FC2582">
        <w:rPr>
          <w:rFonts w:asciiTheme="minorHAnsi" w:hAnsiTheme="minorHAnsi" w:cstheme="minorHAnsi"/>
          <w:color w:val="auto"/>
          <w:sz w:val="26"/>
          <w:szCs w:val="26"/>
        </w:rPr>
        <w:t>(</w:t>
      </w:r>
      <w:r w:rsidRPr="00FC2582">
        <w:rPr>
          <w:rFonts w:asciiTheme="minorHAnsi" w:hAnsiTheme="minorHAnsi" w:cstheme="minorHAnsi"/>
          <w:color w:val="auto"/>
          <w:sz w:val="26"/>
          <w:szCs w:val="26"/>
        </w:rPr>
        <w:t xml:space="preserve">ex: </w:t>
      </w:r>
      <w:r w:rsidRPr="00FC2582">
        <w:rPr>
          <w:rFonts w:asciiTheme="minorHAnsi" w:hAnsiTheme="minorHAnsi" w:cstheme="minorHAnsi"/>
          <w:color w:val="auto"/>
          <w:sz w:val="26"/>
          <w:szCs w:val="26"/>
        </w:rPr>
        <w:lastRenderedPageBreak/>
        <w:t>stabilirea paternității sau tăgada paternității, acțiuni în grănițuire, etc.). Rolul avocatului-prin conlucrarea cu expertul parte, de a genera acele argumente de ordin tehnic și de a le prezenta într-o formă perceptibilă judecătorului, de natură să evidențieze carențele raportului de expertiză.</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Mijloace procedurale:obiecțiuni, lămuriri, cereri de refacere a raportului de expertiză,o nouă expertiză, completarea raportului de expertiză.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3.</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Particularități ale administrării probelor în procesele de partaj, divorț, ordonanță de plată.</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4.</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Aspecte privind administrarea probelor de către avocați.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5.</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Unele incidente procedurale</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Renunțarea la judecată.</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Renunțarea la dreptul pretins. Tranzacția judiciară și hotărârea de expedient. Suspendarea procesului.</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Perimarea cererii. </w:t>
      </w:r>
    </w:p>
    <w:p w:rsidR="00567E27" w:rsidRPr="00FC2582" w:rsidRDefault="00567E27" w:rsidP="00550B95">
      <w:pPr>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p>
    <w:p w:rsidR="00567E27" w:rsidRPr="00FC2582" w:rsidRDefault="00567E27" w:rsidP="00550B95">
      <w:pPr>
        <w:pStyle w:val="IntenseQuote"/>
        <w:spacing w:before="0" w:after="0" w:line="240" w:lineRule="auto"/>
        <w:ind w:left="0" w:right="0"/>
        <w:jc w:val="both"/>
        <w:rPr>
          <w:rFonts w:cstheme="minorHAnsi"/>
          <w:color w:val="auto"/>
          <w:sz w:val="26"/>
          <w:szCs w:val="26"/>
        </w:rPr>
      </w:pPr>
      <w:r w:rsidRPr="00FC2582">
        <w:rPr>
          <w:rFonts w:cstheme="minorHAnsi"/>
          <w:color w:val="auto"/>
          <w:sz w:val="26"/>
          <w:szCs w:val="26"/>
        </w:rPr>
        <w:t>Hotărârea judecătorească și mijloacele procedurale de atacare a acesteia.</w:t>
      </w:r>
      <w:r w:rsidR="00550B95" w:rsidRPr="00FC2582">
        <w:rPr>
          <w:rFonts w:cstheme="minorHAnsi"/>
          <w:color w:val="auto"/>
          <w:sz w:val="26"/>
          <w:szCs w:val="26"/>
        </w:rPr>
        <w:t xml:space="preserve"> </w:t>
      </w:r>
      <w:r w:rsidRPr="00FC2582">
        <w:rPr>
          <w:rFonts w:cstheme="minorHAnsi"/>
          <w:color w:val="auto"/>
          <w:sz w:val="26"/>
          <w:szCs w:val="26"/>
        </w:rPr>
        <w:t xml:space="preserve">Căile de atac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1.</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Hotărârea judecătorească. Cuprinsul acesteia. Aspecte jurisprudențiale privind tipologia viciilor hotărârii judecătorești.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 xml:space="preserve"> 2.</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Determinarea corectă a căii de atac susceptibile a fi exercitată într-o cauză. Hotărâri susceptibile de apel</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w:t>
      </w:r>
      <w:r w:rsidR="00550B95"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hotărâri susceptibile de recurs.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Legalitatea căii de atac.</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Unicitatea căii de atac.</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Partea din hotărâre care poate fi atacată.</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Înțelegerea părților in căile de atac.</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Achiesarea la hotărâre.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2.2.</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Modalități în care legea desemnează faptul că o hotărâre judecătorească este exceptată de la exercitarea apelului cât și cele împotriva cărora poate fi exercitat numai apelul</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 analiza textelor legale incidente.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2.3.</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Consecințele practice ce le implică determinarea greșită a căii de atac de reformare susceptibile de a fi exercitată într-o cauză. Remedii posibile.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2.4.</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Revizuire. Motive de revizuire. Obiectul revizuirii. Determinarea corectă a hotărârilor susceptibile de a fi revizuite.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2.5.</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Recurs</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Contestația în anulare de drept comun.</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Situația în care contestatorul nu a fost legal citat și nici nu a fost prezent la termenul când a avut loc judecata. Contestația în anulare specială. Necompetența instanței-încălcare normelor privind alcătuirea instanței. Distincții. Necompetența</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depășirea atribuțiilor puterii judecătorești.</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Obiectul contestației în anulare de drept și condițiile de admisibilitate ale acesteia. </w:t>
      </w:r>
    </w:p>
    <w:p w:rsidR="0056390B" w:rsidRPr="00FC2582" w:rsidRDefault="0056390B" w:rsidP="00550B95">
      <w:pPr>
        <w:ind w:left="360"/>
        <w:jc w:val="both"/>
        <w:rPr>
          <w:rFonts w:asciiTheme="minorHAnsi" w:hAnsiTheme="minorHAnsi" w:cstheme="minorHAnsi"/>
          <w:color w:val="auto"/>
          <w:sz w:val="26"/>
          <w:szCs w:val="26"/>
        </w:rPr>
      </w:pP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3.</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Probleme ce le implică judecata în căile de atac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3.1.</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Limitele judecății.</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Probleme generate de caracterul devolutiv al apelului. Limitele efectului devolutiv determinate de ceea ce s-a apelat.</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Limitele efectului devolutiv determinate de ceea ce s-a supus judecății la prima instanță. Analiza motivelor de recurs motive de casare.</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Noțiunea de „control de legalitate”. Judecata cererilor de revizuire întemeiate pe art.509 pct.5 și 8 NCPC- analiza jurisprudenței.</w:t>
      </w:r>
      <w:r w:rsidR="00550B95"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Subiectele căilor de atac. Probațiunea în căile de atac. Calitatea procesuală în căile de atac.</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Situația atacării de către creditorul chirografar în revizuire. Posibilitatea formulării unei cereri de intervenție accesorie în căile extraordinare de atac.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lastRenderedPageBreak/>
        <w:t>3.2.</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Soluțiile pe care le poate adopta instanța de apel. </w:t>
      </w:r>
    </w:p>
    <w:p w:rsidR="00567E27" w:rsidRPr="00FC2582" w:rsidRDefault="00567E27" w:rsidP="00550B95">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3.3.</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Soluțiile pe care le poate pronunța instanța de recurs. Efectele casării. </w:t>
      </w:r>
    </w:p>
    <w:p w:rsidR="00567E27" w:rsidRPr="00FC2582" w:rsidRDefault="00567E27" w:rsidP="00550B95">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4.</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Dispoziții privind asigurarea unei practici judiciare unitare</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Recursul în interesul legii.</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Sesizarea Înaltei Curți de Casație și Justiție în vederea pronunțării unei hotărâri prealabile pentru dezlegarea unor chestiuni de drept. Contestația privind tergiversarea procesului. </w:t>
      </w:r>
    </w:p>
    <w:p w:rsidR="008610EC" w:rsidRPr="00FC2582" w:rsidRDefault="008610EC" w:rsidP="00550B95">
      <w:pPr>
        <w:jc w:val="both"/>
        <w:rPr>
          <w:rFonts w:asciiTheme="minorHAnsi" w:hAnsiTheme="minorHAnsi" w:cstheme="minorHAnsi"/>
          <w:b/>
          <w:color w:val="auto"/>
          <w:sz w:val="26"/>
          <w:szCs w:val="26"/>
        </w:rPr>
      </w:pPr>
    </w:p>
    <w:p w:rsidR="00567E27" w:rsidRPr="00FC2582" w:rsidRDefault="00567E27" w:rsidP="008610EC">
      <w:pPr>
        <w:pStyle w:val="IntenseQuote"/>
        <w:spacing w:before="0" w:after="0" w:line="240" w:lineRule="auto"/>
        <w:ind w:left="0" w:right="0"/>
        <w:rPr>
          <w:rFonts w:cstheme="minorHAnsi"/>
          <w:color w:val="auto"/>
          <w:sz w:val="26"/>
          <w:szCs w:val="26"/>
        </w:rPr>
      </w:pPr>
      <w:r w:rsidRPr="00FC2582">
        <w:rPr>
          <w:rFonts w:cstheme="minorHAnsi"/>
          <w:color w:val="auto"/>
          <w:sz w:val="26"/>
          <w:szCs w:val="26"/>
        </w:rPr>
        <w:t xml:space="preserve">Executarea silită </w:t>
      </w:r>
    </w:p>
    <w:p w:rsidR="00567E27" w:rsidRPr="00FC2582" w:rsidRDefault="00567E27" w:rsidP="008610EC">
      <w:pPr>
        <w:jc w:val="both"/>
        <w:rPr>
          <w:rFonts w:asciiTheme="minorHAnsi" w:hAnsiTheme="minorHAnsi" w:cstheme="minorHAnsi"/>
          <w:color w:val="auto"/>
          <w:sz w:val="26"/>
          <w:szCs w:val="26"/>
        </w:rPr>
      </w:pPr>
      <w:r w:rsidRPr="00FC2582">
        <w:rPr>
          <w:rFonts w:asciiTheme="minorHAnsi" w:hAnsiTheme="minorHAnsi" w:cstheme="minorHAnsi"/>
          <w:b/>
          <w:color w:val="auto"/>
          <w:sz w:val="26"/>
          <w:szCs w:val="26"/>
        </w:rPr>
        <w:t>1.</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Titluri executorii. Alte titluri executorii .Înscrisurile autentice notariale. Titlurile de credit</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analiză asupra jurisprudenței în legătură cu titlurile executorii.</w:t>
      </w:r>
      <w:r w:rsidRPr="00FC2582">
        <w:rPr>
          <w:rFonts w:asciiTheme="minorHAnsi" w:hAnsiTheme="minorHAnsi" w:cstheme="minorHAnsi"/>
          <w:color w:val="auto"/>
          <w:sz w:val="26"/>
          <w:szCs w:val="26"/>
        </w:rPr>
        <w:t xml:space="preserve"> </w:t>
      </w:r>
    </w:p>
    <w:p w:rsidR="00567E27" w:rsidRPr="00FC2582" w:rsidRDefault="00567E27" w:rsidP="008610EC">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2.</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Aspecte privind activitatea avocațială din perspectiva creditorului. </w:t>
      </w:r>
    </w:p>
    <w:p w:rsidR="00567E27" w:rsidRPr="00FC2582" w:rsidRDefault="00567E27" w:rsidP="008610EC">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2.1.</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Redactarea și înregistrarea cererii de executare silită.</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Determinarea organului de executare competent.</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Elementele de conținut ale cererii. Înregistrarea cererii la executorul judecătoresc.</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Cheltuielile de executare. </w:t>
      </w:r>
    </w:p>
    <w:p w:rsidR="00567E27" w:rsidRPr="00FC2582" w:rsidRDefault="00567E27" w:rsidP="008610EC">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2.2.</w:t>
      </w:r>
      <w:r w:rsidR="008610EC" w:rsidRPr="00FC2582">
        <w:rPr>
          <w:rFonts w:asciiTheme="minorHAnsi" w:hAnsiTheme="minorHAnsi" w:cstheme="minorHAnsi"/>
          <w:color w:val="auto"/>
          <w:sz w:val="26"/>
          <w:szCs w:val="26"/>
        </w:rPr>
        <w:t xml:space="preserve"> Încuviințarea</w:t>
      </w:r>
      <w:r w:rsidRPr="00FC2582">
        <w:rPr>
          <w:rFonts w:asciiTheme="minorHAnsi" w:hAnsiTheme="minorHAnsi" w:cstheme="minorHAnsi"/>
          <w:color w:val="auto"/>
          <w:sz w:val="26"/>
          <w:szCs w:val="26"/>
        </w:rPr>
        <w:t xml:space="preserve"> executării silite </w:t>
      </w:r>
    </w:p>
    <w:p w:rsidR="00567E27" w:rsidRPr="00FC2582" w:rsidRDefault="00567E27" w:rsidP="008610EC">
      <w:pPr>
        <w:ind w:left="360"/>
        <w:jc w:val="both"/>
        <w:rPr>
          <w:rFonts w:asciiTheme="minorHAnsi" w:hAnsiTheme="minorHAnsi" w:cstheme="minorHAnsi"/>
          <w:b/>
          <w:color w:val="auto"/>
          <w:sz w:val="26"/>
          <w:szCs w:val="26"/>
        </w:rPr>
      </w:pPr>
      <w:r w:rsidRPr="00FC2582">
        <w:rPr>
          <w:rFonts w:asciiTheme="minorHAnsi" w:hAnsiTheme="minorHAnsi" w:cstheme="minorHAnsi"/>
          <w:color w:val="auto"/>
          <w:sz w:val="26"/>
          <w:szCs w:val="26"/>
        </w:rPr>
        <w:t>2.3.</w:t>
      </w:r>
      <w:r w:rsidR="008610EC"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Executarea obligațiilor de a face sau a nu face. </w:t>
      </w:r>
    </w:p>
    <w:p w:rsidR="00567E27" w:rsidRPr="00FC2582" w:rsidRDefault="00567E27" w:rsidP="008610EC">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3.</w:t>
      </w:r>
      <w:r w:rsidR="008610EC" w:rsidRPr="00FC2582">
        <w:rPr>
          <w:rFonts w:asciiTheme="minorHAnsi" w:hAnsiTheme="minorHAnsi" w:cstheme="minorHAnsi"/>
          <w:b/>
          <w:color w:val="auto"/>
          <w:sz w:val="26"/>
          <w:szCs w:val="26"/>
        </w:rPr>
        <w:t xml:space="preserve"> </w:t>
      </w:r>
      <w:r w:rsidRPr="00FC2582">
        <w:rPr>
          <w:rFonts w:asciiTheme="minorHAnsi" w:hAnsiTheme="minorHAnsi" w:cstheme="minorHAnsi"/>
          <w:b/>
          <w:color w:val="auto"/>
          <w:sz w:val="26"/>
          <w:szCs w:val="26"/>
        </w:rPr>
        <w:t xml:space="preserve">Aspecte privind activitatea avocațială din perspectiva debitorului. </w:t>
      </w:r>
    </w:p>
    <w:p w:rsidR="00567E27" w:rsidRPr="00FC2582" w:rsidRDefault="00567E27" w:rsidP="008610EC">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3.1.Contestația la executare. Mij</w:t>
      </w:r>
      <w:r w:rsidR="0056390B" w:rsidRPr="00FC2582">
        <w:rPr>
          <w:rFonts w:asciiTheme="minorHAnsi" w:hAnsiTheme="minorHAnsi" w:cstheme="minorHAnsi"/>
          <w:color w:val="auto"/>
          <w:sz w:val="26"/>
          <w:szCs w:val="26"/>
        </w:rPr>
        <w:t>l</w:t>
      </w:r>
      <w:r w:rsidRPr="00FC2582">
        <w:rPr>
          <w:rFonts w:asciiTheme="minorHAnsi" w:hAnsiTheme="minorHAnsi" w:cstheme="minorHAnsi"/>
          <w:color w:val="auto"/>
          <w:sz w:val="26"/>
          <w:szCs w:val="26"/>
        </w:rPr>
        <w:t>oace de „temporizare” a  executării silite (amânarea,suspendarea și restrângerea executării).Distincție între cazurile de suspendare a executării.</w:t>
      </w:r>
      <w:r w:rsidR="0056390B" w:rsidRPr="00FC2582">
        <w:rPr>
          <w:rFonts w:asciiTheme="minorHAnsi" w:hAnsiTheme="minorHAnsi" w:cstheme="minorHAnsi"/>
          <w:color w:val="auto"/>
          <w:sz w:val="26"/>
          <w:szCs w:val="26"/>
        </w:rPr>
        <w:t xml:space="preserve"> </w:t>
      </w:r>
      <w:r w:rsidRPr="00FC2582">
        <w:rPr>
          <w:rFonts w:asciiTheme="minorHAnsi" w:hAnsiTheme="minorHAnsi" w:cstheme="minorHAnsi"/>
          <w:color w:val="auto"/>
          <w:sz w:val="26"/>
          <w:szCs w:val="26"/>
        </w:rPr>
        <w:t xml:space="preserve">Invocarea beneficiului de discuțiune sau a altor mijloace cu efect de temporizare a executării. </w:t>
      </w:r>
    </w:p>
    <w:p w:rsidR="008610EC" w:rsidRPr="00FC2582" w:rsidRDefault="00567E27" w:rsidP="008610EC">
      <w:pPr>
        <w:ind w:left="36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3.2.Perimarea executării silite și prescripția dreptului de a obține executarea silită, incidente ce conduc la încetarea executării. 3.3.Întoarcerea executării silite. </w:t>
      </w:r>
    </w:p>
    <w:p w:rsidR="00567E27" w:rsidRPr="00FC2582" w:rsidRDefault="00567E27" w:rsidP="008610EC">
      <w:pPr>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4.Executarea hotărârilor judecătorești referitoare la minori.</w:t>
      </w:r>
    </w:p>
    <w:p w:rsidR="00567E27" w:rsidRPr="00FC2582" w:rsidRDefault="00567E27" w:rsidP="008610EC">
      <w:pPr>
        <w:pStyle w:val="Bodytext90"/>
        <w:shd w:val="clear" w:color="auto" w:fill="auto"/>
        <w:tabs>
          <w:tab w:val="left" w:pos="363"/>
        </w:tabs>
        <w:spacing w:before="0" w:after="0" w:line="240" w:lineRule="auto"/>
        <w:rPr>
          <w:rFonts w:asciiTheme="minorHAnsi" w:hAnsiTheme="minorHAnsi" w:cstheme="minorHAnsi"/>
          <w:i w:val="0"/>
          <w:color w:val="auto"/>
        </w:rPr>
      </w:pPr>
    </w:p>
    <w:p w:rsidR="00567E27" w:rsidRPr="00FC2582" w:rsidRDefault="00567E27" w:rsidP="008610EC">
      <w:pPr>
        <w:pStyle w:val="Bodytext90"/>
        <w:shd w:val="clear" w:color="auto" w:fill="auto"/>
        <w:tabs>
          <w:tab w:val="left" w:pos="363"/>
        </w:tabs>
        <w:spacing w:before="0" w:after="0" w:line="240" w:lineRule="auto"/>
        <w:rPr>
          <w:rFonts w:asciiTheme="minorHAnsi" w:hAnsiTheme="minorHAnsi" w:cstheme="minorHAnsi"/>
          <w:i w:val="0"/>
          <w:color w:val="auto"/>
        </w:rPr>
      </w:pPr>
    </w:p>
    <w:p w:rsidR="00567E27" w:rsidRDefault="00567E27"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5F62E4" w:rsidRDefault="005F62E4"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5F62E4" w:rsidRDefault="005F62E4"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5F62E4" w:rsidRDefault="005F62E4"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5F62E4" w:rsidRDefault="005F62E4"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5F62E4" w:rsidRDefault="005F62E4"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5F62E4" w:rsidRDefault="005F62E4"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FC2582" w:rsidRDefault="00FC2582" w:rsidP="00567E27">
      <w:pPr>
        <w:pStyle w:val="Bodytext90"/>
        <w:shd w:val="clear" w:color="auto" w:fill="auto"/>
        <w:tabs>
          <w:tab w:val="left" w:pos="363"/>
        </w:tabs>
        <w:spacing w:before="0" w:after="0" w:line="240" w:lineRule="auto"/>
        <w:rPr>
          <w:rFonts w:asciiTheme="minorHAnsi" w:hAnsiTheme="minorHAnsi" w:cstheme="minorHAnsi"/>
          <w:i w:val="0"/>
          <w:color w:val="auto"/>
        </w:rPr>
      </w:pPr>
    </w:p>
    <w:p w:rsidR="007A1BC0" w:rsidRPr="00FC2582" w:rsidRDefault="005D60C4" w:rsidP="005D60C4">
      <w:pPr>
        <w:pStyle w:val="Bodytext90"/>
        <w:shd w:val="clear" w:color="auto" w:fill="auto"/>
        <w:tabs>
          <w:tab w:val="left" w:pos="363"/>
        </w:tabs>
        <w:spacing w:before="0" w:after="0" w:line="240" w:lineRule="auto"/>
        <w:rPr>
          <w:rStyle w:val="Bodytext7NotItalic"/>
          <w:bCs w:val="0"/>
          <w:color w:val="auto"/>
        </w:rPr>
      </w:pPr>
      <w:r w:rsidRPr="00FC2582">
        <w:rPr>
          <w:b/>
          <w:i w:val="0"/>
          <w:color w:val="auto"/>
          <w:u w:val="single"/>
        </w:rPr>
        <w:lastRenderedPageBreak/>
        <w:t>B.</w:t>
      </w:r>
      <w:r w:rsidRPr="00FC2582">
        <w:rPr>
          <w:i w:val="0"/>
          <w:color w:val="auto"/>
          <w:u w:val="single"/>
        </w:rPr>
        <w:t xml:space="preserve"> </w:t>
      </w:r>
      <w:r w:rsidR="00CA67BE" w:rsidRPr="00FC2582">
        <w:rPr>
          <w:rStyle w:val="Bodytext7NotItalic"/>
          <w:bCs w:val="0"/>
          <w:color w:val="auto"/>
        </w:rPr>
        <w:t>Modulul „</w:t>
      </w:r>
      <w:r w:rsidR="00CA67BE" w:rsidRPr="00FC2582">
        <w:rPr>
          <w:rStyle w:val="Bodytext71"/>
          <w:bCs w:val="0"/>
          <w:i/>
          <w:iCs/>
          <w:color w:val="auto"/>
        </w:rPr>
        <w:t>Drept penal şi procesual penal</w:t>
      </w:r>
      <w:r w:rsidR="00CA67BE" w:rsidRPr="00FC2582">
        <w:rPr>
          <w:rStyle w:val="Bodytext7NotItalic"/>
          <w:bCs w:val="0"/>
          <w:color w:val="auto"/>
        </w:rPr>
        <w:t>"</w:t>
      </w:r>
    </w:p>
    <w:p w:rsidR="005D60C4" w:rsidRPr="00FC2582" w:rsidRDefault="005D60C4" w:rsidP="005D60C4">
      <w:pPr>
        <w:pStyle w:val="Bodytext90"/>
        <w:shd w:val="clear" w:color="auto" w:fill="auto"/>
        <w:tabs>
          <w:tab w:val="left" w:pos="363"/>
        </w:tabs>
        <w:spacing w:before="0" w:after="0" w:line="240" w:lineRule="auto"/>
        <w:rPr>
          <w:rStyle w:val="Bodytext7NotItalic"/>
          <w:bCs w:val="0"/>
          <w:color w:val="auto"/>
        </w:rPr>
      </w:pPr>
    </w:p>
    <w:p w:rsidR="005D60C4" w:rsidRPr="00FC2582" w:rsidRDefault="005D60C4" w:rsidP="005D60C4">
      <w:pPr>
        <w:pStyle w:val="Bodytext80"/>
        <w:shd w:val="clear" w:color="auto" w:fill="auto"/>
        <w:spacing w:before="0" w:after="0" w:line="240" w:lineRule="auto"/>
        <w:ind w:firstLine="720"/>
        <w:jc w:val="both"/>
        <w:rPr>
          <w:color w:val="auto"/>
        </w:rPr>
      </w:pPr>
      <w:r w:rsidRPr="00FC2582">
        <w:rPr>
          <w:rStyle w:val="Bodytext81"/>
          <w:b/>
          <w:bCs/>
          <w:color w:val="auto"/>
        </w:rPr>
        <w:t>Modalităţile în care vor discutate temele de pregătire: prezentarea unor cazuri practice, care vor dezvolta probleme ridicate de diferitele puncte din tematică. Cazurile prezentate nu pot epuiza tematica, dar vor constitui modele de rezolvarea a lucrărilor profesionale de către cursanţi.</w:t>
      </w:r>
    </w:p>
    <w:p w:rsidR="005D60C4" w:rsidRPr="00FC2582" w:rsidRDefault="005D60C4" w:rsidP="005D60C4">
      <w:pPr>
        <w:pStyle w:val="Bodytext80"/>
        <w:shd w:val="clear" w:color="auto" w:fill="auto"/>
        <w:spacing w:before="0" w:after="0" w:line="240" w:lineRule="auto"/>
        <w:ind w:firstLine="720"/>
        <w:jc w:val="both"/>
        <w:rPr>
          <w:color w:val="auto"/>
        </w:rPr>
      </w:pPr>
      <w:r w:rsidRPr="00FC2582">
        <w:rPr>
          <w:rStyle w:val="Bodytext81"/>
          <w:b/>
          <w:bCs/>
          <w:color w:val="auto"/>
        </w:rPr>
        <w:t xml:space="preserve">Lucrările profesionale vor fi cele care vor asigura parcurgea problemelor din tematică.  Lucrările profesionale vor urmări redactarea unor acte specifice activităţii de avocat: concluzii scrise, note de probatorii, căi de atac, opinii juridice, redactare de contracte </w:t>
      </w:r>
      <w:r w:rsidRPr="00FC2582">
        <w:rPr>
          <w:rStyle w:val="Bodytext81"/>
          <w:b/>
          <w:bCs/>
          <w:color w:val="auto"/>
          <w:lang w:val="fr-FR" w:eastAsia="en-US" w:bidi="en-US"/>
        </w:rPr>
        <w:t xml:space="preserve">etc. </w:t>
      </w:r>
      <w:r w:rsidRPr="00FC2582">
        <w:rPr>
          <w:rStyle w:val="Bodytext81"/>
          <w:b/>
          <w:bCs/>
          <w:color w:val="auto"/>
        </w:rPr>
        <w:t>Lucrările profesionale se vor redacta în caietul de lucrări profesionale</w:t>
      </w:r>
      <w:r w:rsidRPr="00FC2582">
        <w:rPr>
          <w:color w:val="auto"/>
        </w:rPr>
        <w:t>.</w:t>
      </w:r>
    </w:p>
    <w:p w:rsidR="005D60C4" w:rsidRPr="00FC2582" w:rsidRDefault="005D60C4" w:rsidP="005D60C4">
      <w:pPr>
        <w:pStyle w:val="Bodytext80"/>
        <w:shd w:val="clear" w:color="auto" w:fill="auto"/>
        <w:spacing w:before="0" w:after="0" w:line="240" w:lineRule="auto"/>
        <w:ind w:firstLine="720"/>
        <w:jc w:val="both"/>
        <w:rPr>
          <w:color w:val="auto"/>
        </w:rPr>
      </w:pPr>
      <w:r w:rsidRPr="00FC2582">
        <w:rPr>
          <w:color w:val="auto"/>
        </w:rPr>
        <w:t>Modulul va cuprinde 24 de ore de activităţi tutoriale.</w:t>
      </w:r>
    </w:p>
    <w:p w:rsidR="005D60C4" w:rsidRPr="00FC2582" w:rsidRDefault="005D60C4" w:rsidP="005D60C4">
      <w:pPr>
        <w:pStyle w:val="Bodytext90"/>
        <w:shd w:val="clear" w:color="auto" w:fill="auto"/>
        <w:tabs>
          <w:tab w:val="left" w:pos="363"/>
        </w:tabs>
        <w:spacing w:before="0" w:after="0" w:line="240" w:lineRule="auto"/>
        <w:rPr>
          <w:color w:val="auto"/>
        </w:rPr>
      </w:pPr>
    </w:p>
    <w:p w:rsidR="007A1BC0" w:rsidRPr="00FC2582" w:rsidRDefault="00CA67BE" w:rsidP="003A1DE8">
      <w:pPr>
        <w:pStyle w:val="Bodytext70"/>
        <w:shd w:val="clear" w:color="auto" w:fill="auto"/>
        <w:spacing w:after="0" w:line="240" w:lineRule="auto"/>
        <w:ind w:firstLine="720"/>
        <w:jc w:val="both"/>
        <w:rPr>
          <w:color w:val="auto"/>
        </w:rPr>
      </w:pPr>
      <w:r w:rsidRPr="00FC2582">
        <w:rPr>
          <w:color w:val="auto"/>
        </w:rPr>
        <w:t>Teme de pregătire:</w:t>
      </w:r>
    </w:p>
    <w:p w:rsidR="005D60C4" w:rsidRPr="00FC2582" w:rsidRDefault="005D60C4" w:rsidP="005D60C4">
      <w:pPr>
        <w:pStyle w:val="Bodytext70"/>
        <w:shd w:val="clear" w:color="auto" w:fill="auto"/>
        <w:spacing w:after="0" w:line="240" w:lineRule="auto"/>
        <w:ind w:firstLine="0"/>
        <w:jc w:val="left"/>
        <w:rPr>
          <w:color w:val="auto"/>
        </w:rPr>
      </w:pPr>
    </w:p>
    <w:p w:rsidR="007A1BC0" w:rsidRPr="00FC2582" w:rsidRDefault="005D60C4" w:rsidP="005D60C4">
      <w:pPr>
        <w:pStyle w:val="Bodytext70"/>
        <w:shd w:val="clear" w:color="auto" w:fill="auto"/>
        <w:spacing w:after="0" w:line="240" w:lineRule="auto"/>
        <w:ind w:firstLine="0"/>
        <w:jc w:val="left"/>
        <w:rPr>
          <w:b w:val="0"/>
          <w:color w:val="auto"/>
        </w:rPr>
      </w:pPr>
      <w:r w:rsidRPr="00FC2582">
        <w:rPr>
          <w:b w:val="0"/>
          <w:color w:val="auto"/>
        </w:rPr>
        <w:t>Drept penal</w:t>
      </w:r>
    </w:p>
    <w:p w:rsidR="009903A4" w:rsidRPr="00FC2582" w:rsidRDefault="009903A4" w:rsidP="009903A4">
      <w:pPr>
        <w:pStyle w:val="Bodytext70"/>
        <w:shd w:val="clear" w:color="auto" w:fill="auto"/>
        <w:spacing w:after="0" w:line="240" w:lineRule="auto"/>
        <w:ind w:firstLine="0"/>
        <w:jc w:val="left"/>
        <w:rPr>
          <w:color w:val="auto"/>
        </w:rPr>
      </w:pPr>
    </w:p>
    <w:p w:rsidR="007A1BC0" w:rsidRPr="00FC2582" w:rsidRDefault="00CA67BE" w:rsidP="009903A4">
      <w:pPr>
        <w:pStyle w:val="Bodytext70"/>
        <w:shd w:val="clear" w:color="auto" w:fill="auto"/>
        <w:spacing w:after="0" w:line="240" w:lineRule="auto"/>
        <w:ind w:firstLine="0"/>
        <w:jc w:val="left"/>
        <w:rPr>
          <w:color w:val="auto"/>
        </w:rPr>
      </w:pPr>
      <w:r w:rsidRPr="00FC2582">
        <w:rPr>
          <w:color w:val="auto"/>
        </w:rPr>
        <w:t>PARTEA GENERALĂ:</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Aplicarea legii penale în timp şi spaţiu </w:t>
      </w:r>
      <w:r w:rsidRPr="00FC2582">
        <w:rPr>
          <w:color w:val="auto"/>
          <w:lang w:val="en-US" w:eastAsia="en-US" w:bidi="en-US"/>
        </w:rPr>
        <w:t xml:space="preserve">(art. </w:t>
      </w:r>
      <w:r w:rsidRPr="00FC2582">
        <w:rPr>
          <w:color w:val="auto"/>
        </w:rPr>
        <w:t xml:space="preserve">3-14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Infracţiunea </w:t>
      </w:r>
      <w:r w:rsidRPr="00FC2582">
        <w:rPr>
          <w:color w:val="auto"/>
          <w:lang w:val="en-US" w:eastAsia="en-US" w:bidi="en-US"/>
        </w:rPr>
        <w:t xml:space="preserve">(art. </w:t>
      </w:r>
      <w:r w:rsidRPr="00FC2582">
        <w:rPr>
          <w:color w:val="auto"/>
        </w:rPr>
        <w:t xml:space="preserve">15-52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Pedepsele </w:t>
      </w:r>
      <w:r w:rsidRPr="00FC2582">
        <w:rPr>
          <w:color w:val="auto"/>
          <w:lang w:val="en-US" w:eastAsia="en-US" w:bidi="en-US"/>
        </w:rPr>
        <w:t xml:space="preserve">(art. </w:t>
      </w:r>
      <w:r w:rsidRPr="00FC2582">
        <w:rPr>
          <w:color w:val="auto"/>
        </w:rPr>
        <w:t>53-106);</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Măsurile de siguranţă </w:t>
      </w:r>
      <w:r w:rsidRPr="00FC2582">
        <w:rPr>
          <w:color w:val="auto"/>
          <w:lang w:val="en-US" w:eastAsia="en-US" w:bidi="en-US"/>
        </w:rPr>
        <w:t xml:space="preserve">(art. </w:t>
      </w:r>
      <w:r w:rsidRPr="00FC2582">
        <w:rPr>
          <w:color w:val="auto"/>
        </w:rPr>
        <w:t>107-112</w:t>
      </w:r>
      <w:r w:rsidRPr="00FC2582">
        <w:rPr>
          <w:color w:val="auto"/>
          <w:vertAlign w:val="superscript"/>
        </w:rPr>
        <w:t>1</w:t>
      </w:r>
      <w:r w:rsidRPr="00FC2582">
        <w:rPr>
          <w:color w:val="auto"/>
        </w:rPr>
        <w:t xml:space="preserve">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Minoritatea </w:t>
      </w:r>
      <w:r w:rsidRPr="00FC2582">
        <w:rPr>
          <w:color w:val="auto"/>
          <w:lang w:val="en-US" w:eastAsia="en-US" w:bidi="en-US"/>
        </w:rPr>
        <w:t xml:space="preserve">(art. </w:t>
      </w:r>
      <w:r w:rsidRPr="00FC2582">
        <w:rPr>
          <w:color w:val="auto"/>
        </w:rPr>
        <w:t xml:space="preserve">113-134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Răspunderea penală a persoanei juridice </w:t>
      </w:r>
      <w:r w:rsidRPr="00FC2582">
        <w:rPr>
          <w:color w:val="auto"/>
          <w:lang w:val="en-US" w:eastAsia="en-US" w:bidi="en-US"/>
        </w:rPr>
        <w:t xml:space="preserve">(art. </w:t>
      </w:r>
      <w:r w:rsidRPr="00FC2582">
        <w:rPr>
          <w:color w:val="auto"/>
        </w:rPr>
        <w:t xml:space="preserve">135-151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 Cauzele care înlătură răspunderea penală </w:t>
      </w:r>
      <w:r w:rsidRPr="00FC2582">
        <w:rPr>
          <w:color w:val="auto"/>
          <w:lang w:val="en-US" w:eastAsia="en-US" w:bidi="en-US"/>
        </w:rPr>
        <w:t xml:space="preserve">(art. </w:t>
      </w:r>
      <w:r w:rsidRPr="00FC2582">
        <w:rPr>
          <w:color w:val="auto"/>
        </w:rPr>
        <w:t xml:space="preserve">152-159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Cauzele care înlătură sau modifică executarea pedepsei </w:t>
      </w:r>
      <w:r w:rsidRPr="00FC2582">
        <w:rPr>
          <w:color w:val="auto"/>
          <w:lang w:val="en-US" w:eastAsia="en-US" w:bidi="en-US"/>
        </w:rPr>
        <w:t xml:space="preserve">(art. </w:t>
      </w:r>
      <w:r w:rsidRPr="00FC2582">
        <w:rPr>
          <w:color w:val="auto"/>
        </w:rPr>
        <w:t xml:space="preserve">160-164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s>
        <w:spacing w:before="0" w:after="0" w:line="240" w:lineRule="auto"/>
        <w:ind w:firstLine="180"/>
        <w:rPr>
          <w:color w:val="auto"/>
        </w:rPr>
      </w:pPr>
      <w:r w:rsidRPr="00FC2582">
        <w:rPr>
          <w:color w:val="auto"/>
        </w:rPr>
        <w:t xml:space="preserve">Cauzele care înlătură consecinţele condamnării </w:t>
      </w:r>
      <w:r w:rsidRPr="00FC2582">
        <w:rPr>
          <w:color w:val="auto"/>
          <w:lang w:val="en-US" w:eastAsia="en-US" w:bidi="en-US"/>
        </w:rPr>
        <w:t xml:space="preserve">(art. </w:t>
      </w:r>
      <w:r w:rsidRPr="00FC2582">
        <w:rPr>
          <w:color w:val="auto"/>
        </w:rPr>
        <w:t xml:space="preserve">165-171 C. </w:t>
      </w:r>
      <w:r w:rsidRPr="00FC2582">
        <w:rPr>
          <w:color w:val="auto"/>
          <w:lang w:val="en-US" w:eastAsia="en-US" w:bidi="en-US"/>
        </w:rPr>
        <w:t>pen.);</w:t>
      </w:r>
    </w:p>
    <w:p w:rsidR="007A1BC0" w:rsidRPr="00FC2582" w:rsidRDefault="00CA67BE" w:rsidP="009903A4">
      <w:pPr>
        <w:pStyle w:val="Bodytext20"/>
        <w:numPr>
          <w:ilvl w:val="0"/>
          <w:numId w:val="7"/>
        </w:numPr>
        <w:shd w:val="clear" w:color="auto" w:fill="auto"/>
        <w:tabs>
          <w:tab w:val="left" w:pos="540"/>
          <w:tab w:val="left" w:pos="1613"/>
        </w:tabs>
        <w:spacing w:before="0" w:after="0" w:line="240" w:lineRule="auto"/>
        <w:ind w:firstLine="180"/>
        <w:rPr>
          <w:color w:val="auto"/>
        </w:rPr>
      </w:pPr>
      <w:r w:rsidRPr="00FC2582">
        <w:rPr>
          <w:color w:val="auto"/>
        </w:rPr>
        <w:t xml:space="preserve">Înţelesul unor termeni sau expresii în legea penală </w:t>
      </w:r>
      <w:r w:rsidRPr="00FC2582">
        <w:rPr>
          <w:color w:val="auto"/>
          <w:lang w:val="en-US" w:eastAsia="en-US" w:bidi="en-US"/>
        </w:rPr>
        <w:t xml:space="preserve">(art. </w:t>
      </w:r>
      <w:r w:rsidRPr="00FC2582">
        <w:rPr>
          <w:color w:val="auto"/>
        </w:rPr>
        <w:t xml:space="preserve">172-187 C. </w:t>
      </w:r>
      <w:r w:rsidRPr="00FC2582">
        <w:rPr>
          <w:color w:val="auto"/>
          <w:lang w:val="en-US" w:eastAsia="en-US" w:bidi="en-US"/>
        </w:rPr>
        <w:t>pen.)</w:t>
      </w:r>
    </w:p>
    <w:p w:rsidR="009903A4" w:rsidRPr="00FC2582" w:rsidRDefault="009903A4" w:rsidP="009903A4">
      <w:pPr>
        <w:pStyle w:val="Bodytext70"/>
        <w:shd w:val="clear" w:color="auto" w:fill="auto"/>
        <w:spacing w:after="0" w:line="240" w:lineRule="auto"/>
        <w:ind w:firstLine="0"/>
        <w:jc w:val="both"/>
        <w:rPr>
          <w:color w:val="auto"/>
        </w:rPr>
      </w:pPr>
    </w:p>
    <w:p w:rsidR="007A1BC0" w:rsidRPr="00FC2582" w:rsidRDefault="00CA67BE" w:rsidP="009903A4">
      <w:pPr>
        <w:pStyle w:val="Bodytext70"/>
        <w:shd w:val="clear" w:color="auto" w:fill="auto"/>
        <w:spacing w:after="0" w:line="240" w:lineRule="auto"/>
        <w:ind w:firstLine="0"/>
        <w:jc w:val="both"/>
        <w:rPr>
          <w:color w:val="auto"/>
        </w:rPr>
      </w:pPr>
      <w:r w:rsidRPr="00FC2582">
        <w:rPr>
          <w:color w:val="auto"/>
        </w:rPr>
        <w:t>PARTEA SPECIALĂ:</w:t>
      </w:r>
    </w:p>
    <w:p w:rsidR="007A1BC0" w:rsidRPr="00FC2582" w:rsidRDefault="00CA67BE" w:rsidP="003A1DE8">
      <w:pPr>
        <w:pStyle w:val="Bodytext20"/>
        <w:shd w:val="clear" w:color="auto" w:fill="auto"/>
        <w:spacing w:before="0" w:after="0" w:line="240" w:lineRule="auto"/>
        <w:ind w:firstLine="720"/>
        <w:rPr>
          <w:color w:val="auto"/>
        </w:rPr>
      </w:pPr>
      <w:r w:rsidRPr="00FC2582">
        <w:rPr>
          <w:color w:val="auto"/>
        </w:rPr>
        <w:t>1. Inf</w:t>
      </w:r>
      <w:r w:rsidR="00D26D6B" w:rsidRPr="00FC2582">
        <w:rPr>
          <w:color w:val="auto"/>
        </w:rPr>
        <w:t>r</w:t>
      </w:r>
      <w:r w:rsidRPr="00FC2582">
        <w:rPr>
          <w:color w:val="auto"/>
        </w:rPr>
        <w:t>acţiunile contra persoanei:</w:t>
      </w:r>
    </w:p>
    <w:p w:rsidR="007A1BC0" w:rsidRPr="00FC2582" w:rsidRDefault="00CA67BE" w:rsidP="00D26D6B">
      <w:pPr>
        <w:pStyle w:val="Bodytext20"/>
        <w:numPr>
          <w:ilvl w:val="0"/>
          <w:numId w:val="39"/>
        </w:numPr>
        <w:shd w:val="clear" w:color="auto" w:fill="auto"/>
        <w:tabs>
          <w:tab w:val="left" w:pos="810"/>
        </w:tabs>
        <w:spacing w:before="0" w:after="0" w:line="240" w:lineRule="auto"/>
        <w:rPr>
          <w:color w:val="auto"/>
        </w:rPr>
      </w:pPr>
      <w:r w:rsidRPr="00FC2582">
        <w:rPr>
          <w:color w:val="auto"/>
        </w:rPr>
        <w:t xml:space="preserve">infracţiuni contra vieţii </w:t>
      </w:r>
      <w:r w:rsidRPr="00FC2582">
        <w:rPr>
          <w:color w:val="auto"/>
          <w:lang w:val="en-US" w:eastAsia="en-US" w:bidi="en-US"/>
        </w:rPr>
        <w:t xml:space="preserve">(art. </w:t>
      </w:r>
      <w:r w:rsidRPr="00FC2582">
        <w:rPr>
          <w:color w:val="auto"/>
        </w:rPr>
        <w:t xml:space="preserve">188-192 C. </w:t>
      </w:r>
      <w:r w:rsidRPr="00FC2582">
        <w:rPr>
          <w:color w:val="auto"/>
          <w:lang w:val="en-US" w:eastAsia="en-US" w:bidi="en-US"/>
        </w:rPr>
        <w:t>pen.);</w:t>
      </w:r>
    </w:p>
    <w:p w:rsidR="007A1BC0" w:rsidRPr="00FC2582" w:rsidRDefault="00CA67BE" w:rsidP="00D26D6B">
      <w:pPr>
        <w:pStyle w:val="Bodytext20"/>
        <w:numPr>
          <w:ilvl w:val="0"/>
          <w:numId w:val="39"/>
        </w:numPr>
        <w:shd w:val="clear" w:color="auto" w:fill="auto"/>
        <w:tabs>
          <w:tab w:val="left" w:pos="810"/>
        </w:tabs>
        <w:spacing w:before="0" w:after="0" w:line="240" w:lineRule="auto"/>
        <w:rPr>
          <w:color w:val="auto"/>
        </w:rPr>
      </w:pPr>
      <w:r w:rsidRPr="00FC2582">
        <w:rPr>
          <w:color w:val="auto"/>
        </w:rPr>
        <w:t xml:space="preserve">infracţiuni contra integrităţii corporale sau sănătăţii </w:t>
      </w:r>
      <w:r w:rsidRPr="00FC2582">
        <w:rPr>
          <w:color w:val="auto"/>
          <w:lang w:val="en-US" w:eastAsia="en-US" w:bidi="en-US"/>
        </w:rPr>
        <w:t xml:space="preserve">(art. </w:t>
      </w:r>
      <w:r w:rsidRPr="00FC2582">
        <w:rPr>
          <w:color w:val="auto"/>
        </w:rPr>
        <w:t xml:space="preserve">193-198 C. </w:t>
      </w:r>
      <w:r w:rsidRPr="00FC2582">
        <w:rPr>
          <w:color w:val="auto"/>
          <w:lang w:val="en-US" w:eastAsia="en-US" w:bidi="en-US"/>
        </w:rPr>
        <w:t>pen.);</w:t>
      </w:r>
    </w:p>
    <w:p w:rsidR="007A1BC0" w:rsidRPr="00FC2582" w:rsidRDefault="00CA67BE" w:rsidP="00D26D6B">
      <w:pPr>
        <w:pStyle w:val="Bodytext20"/>
        <w:numPr>
          <w:ilvl w:val="0"/>
          <w:numId w:val="39"/>
        </w:numPr>
        <w:shd w:val="clear" w:color="auto" w:fill="auto"/>
        <w:tabs>
          <w:tab w:val="left" w:pos="810"/>
        </w:tabs>
        <w:spacing w:before="0" w:after="0" w:line="240" w:lineRule="auto"/>
        <w:rPr>
          <w:color w:val="auto"/>
        </w:rPr>
      </w:pPr>
      <w:r w:rsidRPr="00FC2582">
        <w:rPr>
          <w:color w:val="auto"/>
        </w:rPr>
        <w:t xml:space="preserve">infracţiuni contra libertăţii persoanei </w:t>
      </w:r>
      <w:r w:rsidRPr="00FC2582">
        <w:rPr>
          <w:color w:val="auto"/>
          <w:lang w:val="en-US" w:eastAsia="en-US" w:bidi="en-US"/>
        </w:rPr>
        <w:t xml:space="preserve">(art. </w:t>
      </w:r>
      <w:r w:rsidRPr="00FC2582">
        <w:rPr>
          <w:color w:val="auto"/>
        </w:rPr>
        <w:t xml:space="preserve">205-208 C. </w:t>
      </w:r>
      <w:r w:rsidRPr="00FC2582">
        <w:rPr>
          <w:color w:val="auto"/>
          <w:lang w:val="en-US" w:eastAsia="en-US" w:bidi="en-US"/>
        </w:rPr>
        <w:t>pen.);</w:t>
      </w:r>
    </w:p>
    <w:p w:rsidR="007A1BC0" w:rsidRPr="00FC2582" w:rsidRDefault="00CA67BE" w:rsidP="00D26D6B">
      <w:pPr>
        <w:pStyle w:val="Bodytext20"/>
        <w:numPr>
          <w:ilvl w:val="0"/>
          <w:numId w:val="39"/>
        </w:numPr>
        <w:shd w:val="clear" w:color="auto" w:fill="auto"/>
        <w:tabs>
          <w:tab w:val="left" w:pos="810"/>
        </w:tabs>
        <w:spacing w:before="0" w:after="0" w:line="240" w:lineRule="auto"/>
        <w:rPr>
          <w:color w:val="auto"/>
        </w:rPr>
      </w:pPr>
      <w:r w:rsidRPr="00FC2582">
        <w:rPr>
          <w:color w:val="auto"/>
        </w:rPr>
        <w:t xml:space="preserve">infracţiuni contra libertăţii şi integrităţii sexuale </w:t>
      </w:r>
      <w:r w:rsidRPr="00FC2582">
        <w:rPr>
          <w:color w:val="auto"/>
          <w:lang w:val="fr-FR" w:eastAsia="en-US" w:bidi="en-US"/>
        </w:rPr>
        <w:t xml:space="preserve">(art. </w:t>
      </w:r>
      <w:r w:rsidRPr="00FC2582">
        <w:rPr>
          <w:color w:val="auto"/>
        </w:rPr>
        <w:t xml:space="preserve">218-223 C. </w:t>
      </w:r>
      <w:proofErr w:type="spellStart"/>
      <w:r w:rsidRPr="00FC2582">
        <w:rPr>
          <w:color w:val="auto"/>
          <w:lang w:val="fr-FR" w:eastAsia="en-US" w:bidi="en-US"/>
        </w:rPr>
        <w:t>pen</w:t>
      </w:r>
      <w:proofErr w:type="spellEnd"/>
      <w:r w:rsidRPr="00FC2582">
        <w:rPr>
          <w:color w:val="auto"/>
          <w:lang w:val="fr-FR" w:eastAsia="en-US" w:bidi="en-US"/>
        </w:rPr>
        <w:t>.);</w:t>
      </w:r>
    </w:p>
    <w:p w:rsidR="007A1BC0" w:rsidRPr="00FC2582" w:rsidRDefault="00CA67BE" w:rsidP="00FC2582">
      <w:pPr>
        <w:pStyle w:val="Bodytext20"/>
        <w:numPr>
          <w:ilvl w:val="0"/>
          <w:numId w:val="39"/>
        </w:numPr>
        <w:shd w:val="clear" w:color="auto" w:fill="auto"/>
        <w:tabs>
          <w:tab w:val="left" w:pos="810"/>
        </w:tabs>
        <w:spacing w:before="0" w:after="0" w:line="240" w:lineRule="auto"/>
        <w:rPr>
          <w:color w:val="auto"/>
        </w:rPr>
      </w:pPr>
      <w:r w:rsidRPr="00FC2582">
        <w:rPr>
          <w:color w:val="auto"/>
        </w:rPr>
        <w:t xml:space="preserve">infracţiuni care aduc atingere domiciliului şi vieţii private </w:t>
      </w:r>
      <w:r w:rsidRPr="00FC2582">
        <w:rPr>
          <w:color w:val="auto"/>
          <w:lang w:eastAsia="en-US" w:bidi="en-US"/>
        </w:rPr>
        <w:t xml:space="preserve">(art. </w:t>
      </w:r>
      <w:r w:rsidRPr="00FC2582">
        <w:rPr>
          <w:color w:val="auto"/>
        </w:rPr>
        <w:t>224-227 C.</w:t>
      </w:r>
      <w:r w:rsidR="00FC2582">
        <w:rPr>
          <w:color w:val="auto"/>
        </w:rPr>
        <w:t xml:space="preserve"> </w:t>
      </w:r>
      <w:proofErr w:type="spellStart"/>
      <w:r w:rsidR="00FC2582">
        <w:rPr>
          <w:color w:val="auto"/>
        </w:rPr>
        <w:t>p</w:t>
      </w:r>
      <w:r w:rsidRPr="00FC2582">
        <w:rPr>
          <w:color w:val="auto"/>
          <w:lang w:eastAsia="en-US" w:bidi="en-US"/>
        </w:rPr>
        <w:t>en</w:t>
      </w:r>
      <w:proofErr w:type="spellEnd"/>
      <w:r w:rsidRPr="00FC2582">
        <w:rPr>
          <w:color w:val="auto"/>
          <w:lang w:eastAsia="en-US" w:bidi="en-US"/>
        </w:rPr>
        <w:t>.).</w:t>
      </w:r>
    </w:p>
    <w:p w:rsidR="007A1BC0" w:rsidRPr="00FC2582" w:rsidRDefault="00CA67BE" w:rsidP="00D26D6B">
      <w:pPr>
        <w:pStyle w:val="Bodytext20"/>
        <w:numPr>
          <w:ilvl w:val="0"/>
          <w:numId w:val="40"/>
        </w:numPr>
        <w:shd w:val="clear" w:color="auto" w:fill="auto"/>
        <w:spacing w:before="0" w:after="0" w:line="240" w:lineRule="auto"/>
        <w:rPr>
          <w:color w:val="auto"/>
        </w:rPr>
      </w:pPr>
      <w:r w:rsidRPr="00FC2582">
        <w:rPr>
          <w:color w:val="auto"/>
        </w:rPr>
        <w:t xml:space="preserve">Infracţiunile </w:t>
      </w:r>
      <w:r w:rsidRPr="00FC2582">
        <w:rPr>
          <w:color w:val="auto"/>
          <w:lang w:eastAsia="en-US" w:bidi="en-US"/>
        </w:rPr>
        <w:t xml:space="preserve">contra </w:t>
      </w:r>
      <w:r w:rsidRPr="00FC2582">
        <w:rPr>
          <w:color w:val="auto"/>
        </w:rPr>
        <w:t>patrimoniului</w:t>
      </w:r>
    </w:p>
    <w:p w:rsidR="007A1BC0" w:rsidRPr="00FC2582" w:rsidRDefault="00CA67BE" w:rsidP="00D26D6B">
      <w:pPr>
        <w:pStyle w:val="Bodytext20"/>
        <w:numPr>
          <w:ilvl w:val="0"/>
          <w:numId w:val="41"/>
        </w:numPr>
        <w:shd w:val="clear" w:color="auto" w:fill="auto"/>
        <w:tabs>
          <w:tab w:val="left" w:pos="1742"/>
        </w:tabs>
        <w:spacing w:before="0" w:after="0" w:line="240" w:lineRule="auto"/>
        <w:ind w:left="1170" w:hanging="450"/>
        <w:rPr>
          <w:color w:val="auto"/>
        </w:rPr>
      </w:pPr>
      <w:r w:rsidRPr="00FC2582">
        <w:rPr>
          <w:color w:val="auto"/>
        </w:rPr>
        <w:t xml:space="preserve">furtul (228-232 C. </w:t>
      </w:r>
      <w:proofErr w:type="spellStart"/>
      <w:r w:rsidRPr="00FC2582">
        <w:rPr>
          <w:color w:val="auto"/>
          <w:lang w:eastAsia="en-US" w:bidi="en-US"/>
        </w:rPr>
        <w:t>pen</w:t>
      </w:r>
      <w:proofErr w:type="spellEnd"/>
      <w:r w:rsidRPr="00FC2582">
        <w:rPr>
          <w:color w:val="auto"/>
          <w:lang w:eastAsia="en-US" w:bidi="en-US"/>
        </w:rPr>
        <w:t>.);</w:t>
      </w:r>
    </w:p>
    <w:p w:rsidR="007A1BC0" w:rsidRPr="00FC2582" w:rsidRDefault="00CA67BE" w:rsidP="00D26D6B">
      <w:pPr>
        <w:pStyle w:val="Bodytext20"/>
        <w:numPr>
          <w:ilvl w:val="0"/>
          <w:numId w:val="41"/>
        </w:numPr>
        <w:shd w:val="clear" w:color="auto" w:fill="auto"/>
        <w:tabs>
          <w:tab w:val="left" w:pos="1742"/>
        </w:tabs>
        <w:spacing w:before="0" w:after="0" w:line="240" w:lineRule="auto"/>
        <w:ind w:left="1170" w:hanging="450"/>
        <w:rPr>
          <w:color w:val="auto"/>
        </w:rPr>
      </w:pPr>
      <w:r w:rsidRPr="00FC2582">
        <w:rPr>
          <w:color w:val="auto"/>
        </w:rPr>
        <w:t xml:space="preserve">tâlhăria şi pirateria </w:t>
      </w:r>
      <w:r w:rsidRPr="00FC2582">
        <w:rPr>
          <w:color w:val="auto"/>
          <w:lang w:eastAsia="en-US" w:bidi="en-US"/>
        </w:rPr>
        <w:t xml:space="preserve">(art. </w:t>
      </w:r>
      <w:r w:rsidRPr="00FC2582">
        <w:rPr>
          <w:color w:val="auto"/>
        </w:rPr>
        <w:t xml:space="preserve">233-237 C. </w:t>
      </w:r>
      <w:proofErr w:type="spellStart"/>
      <w:r w:rsidRPr="00FC2582">
        <w:rPr>
          <w:color w:val="auto"/>
          <w:lang w:eastAsia="en-US" w:bidi="en-US"/>
        </w:rPr>
        <w:t>pen</w:t>
      </w:r>
      <w:proofErr w:type="spellEnd"/>
      <w:r w:rsidRPr="00FC2582">
        <w:rPr>
          <w:color w:val="auto"/>
          <w:lang w:eastAsia="en-US" w:bidi="en-US"/>
        </w:rPr>
        <w:t>.);</w:t>
      </w:r>
    </w:p>
    <w:p w:rsidR="007A1BC0" w:rsidRPr="00FC2582" w:rsidRDefault="00CA67BE" w:rsidP="00D26D6B">
      <w:pPr>
        <w:pStyle w:val="Bodytext20"/>
        <w:numPr>
          <w:ilvl w:val="0"/>
          <w:numId w:val="41"/>
        </w:numPr>
        <w:shd w:val="clear" w:color="auto" w:fill="auto"/>
        <w:tabs>
          <w:tab w:val="left" w:pos="1742"/>
        </w:tabs>
        <w:spacing w:before="0" w:after="0" w:line="240" w:lineRule="auto"/>
        <w:ind w:left="1170" w:hanging="450"/>
        <w:rPr>
          <w:color w:val="auto"/>
        </w:rPr>
      </w:pPr>
      <w:r w:rsidRPr="00FC2582">
        <w:rPr>
          <w:color w:val="auto"/>
        </w:rPr>
        <w:t xml:space="preserve">infracţiuni contra patrimoniului prin nesocotirea încrederii </w:t>
      </w:r>
      <w:r w:rsidRPr="00FC2582">
        <w:rPr>
          <w:color w:val="auto"/>
          <w:lang w:val="en-US" w:eastAsia="en-US" w:bidi="en-US"/>
        </w:rPr>
        <w:t xml:space="preserve">(art. </w:t>
      </w:r>
      <w:r w:rsidRPr="00FC2582">
        <w:rPr>
          <w:color w:val="auto"/>
        </w:rPr>
        <w:t xml:space="preserve">238-248 C. </w:t>
      </w:r>
      <w:r w:rsidRPr="00FC2582">
        <w:rPr>
          <w:color w:val="auto"/>
          <w:lang w:val="en-US" w:eastAsia="en-US" w:bidi="en-US"/>
        </w:rPr>
        <w:t>pen.);</w:t>
      </w:r>
    </w:p>
    <w:p w:rsidR="007A1BC0" w:rsidRPr="00FC2582" w:rsidRDefault="00CA67BE" w:rsidP="00D26D6B">
      <w:pPr>
        <w:pStyle w:val="Bodytext20"/>
        <w:numPr>
          <w:ilvl w:val="0"/>
          <w:numId w:val="41"/>
        </w:numPr>
        <w:shd w:val="clear" w:color="auto" w:fill="auto"/>
        <w:tabs>
          <w:tab w:val="left" w:pos="1742"/>
        </w:tabs>
        <w:spacing w:before="0" w:after="0" w:line="240" w:lineRule="auto"/>
        <w:ind w:left="1170" w:hanging="450"/>
        <w:rPr>
          <w:color w:val="auto"/>
        </w:rPr>
      </w:pPr>
      <w:r w:rsidRPr="00FC2582">
        <w:rPr>
          <w:color w:val="auto"/>
        </w:rPr>
        <w:t xml:space="preserve">fraude comise prin sisteme informatice şi mijloace de plată electronice </w:t>
      </w:r>
      <w:r w:rsidRPr="00FC2582">
        <w:rPr>
          <w:color w:val="auto"/>
          <w:lang w:val="en-US" w:eastAsia="en-US" w:bidi="en-US"/>
        </w:rPr>
        <w:t xml:space="preserve">(art. </w:t>
      </w:r>
      <w:r w:rsidRPr="00FC2582">
        <w:rPr>
          <w:color w:val="auto"/>
        </w:rPr>
        <w:t xml:space="preserve">249-252 C. </w:t>
      </w:r>
      <w:r w:rsidRPr="00FC2582">
        <w:rPr>
          <w:color w:val="auto"/>
          <w:lang w:val="en-US" w:eastAsia="en-US" w:bidi="en-US"/>
        </w:rPr>
        <w:t>pen.);</w:t>
      </w:r>
    </w:p>
    <w:p w:rsidR="007A1BC0" w:rsidRPr="00FC2582" w:rsidRDefault="00CA67BE" w:rsidP="00D26D6B">
      <w:pPr>
        <w:pStyle w:val="Bodytext20"/>
        <w:numPr>
          <w:ilvl w:val="0"/>
          <w:numId w:val="41"/>
        </w:numPr>
        <w:shd w:val="clear" w:color="auto" w:fill="auto"/>
        <w:tabs>
          <w:tab w:val="left" w:pos="1742"/>
        </w:tabs>
        <w:spacing w:before="0" w:after="0" w:line="240" w:lineRule="auto"/>
        <w:ind w:left="1170" w:hanging="450"/>
        <w:rPr>
          <w:color w:val="auto"/>
        </w:rPr>
      </w:pPr>
      <w:r w:rsidRPr="00FC2582">
        <w:rPr>
          <w:color w:val="auto"/>
        </w:rPr>
        <w:t xml:space="preserve">distrugerea şi tulburarea de posesie </w:t>
      </w:r>
      <w:r w:rsidRPr="00FC2582">
        <w:rPr>
          <w:color w:val="auto"/>
          <w:lang w:val="en-US" w:eastAsia="en-US" w:bidi="en-US"/>
        </w:rPr>
        <w:t xml:space="preserve">(art. </w:t>
      </w:r>
      <w:r w:rsidRPr="00FC2582">
        <w:rPr>
          <w:color w:val="auto"/>
        </w:rPr>
        <w:t xml:space="preserve">253-256 C. </w:t>
      </w:r>
      <w:r w:rsidRPr="00FC2582">
        <w:rPr>
          <w:color w:val="auto"/>
          <w:lang w:val="en-US" w:eastAsia="en-US" w:bidi="en-US"/>
        </w:rPr>
        <w:t>pen.).</w:t>
      </w:r>
    </w:p>
    <w:p w:rsidR="007A1BC0" w:rsidRPr="00FC2582" w:rsidRDefault="00D26D6B" w:rsidP="00D26D6B">
      <w:pPr>
        <w:pStyle w:val="Bodytext20"/>
        <w:shd w:val="clear" w:color="auto" w:fill="auto"/>
        <w:spacing w:before="0" w:after="0" w:line="240" w:lineRule="auto"/>
        <w:ind w:left="720" w:firstLine="0"/>
        <w:rPr>
          <w:color w:val="auto"/>
        </w:rPr>
      </w:pPr>
      <w:r w:rsidRPr="00FC2582">
        <w:rPr>
          <w:color w:val="auto"/>
        </w:rPr>
        <w:lastRenderedPageBreak/>
        <w:t xml:space="preserve">3. </w:t>
      </w:r>
      <w:r w:rsidR="00CA67BE" w:rsidRPr="00FC2582">
        <w:rPr>
          <w:color w:val="auto"/>
        </w:rPr>
        <w:t xml:space="preserve">Infracţiunile contra înfăptuirii justiţiei </w:t>
      </w:r>
      <w:r w:rsidR="00CA67BE" w:rsidRPr="00FC2582">
        <w:rPr>
          <w:color w:val="auto"/>
          <w:lang w:val="en-US" w:eastAsia="en-US" w:bidi="en-US"/>
        </w:rPr>
        <w:t xml:space="preserve">(art. </w:t>
      </w:r>
      <w:r w:rsidR="00CA67BE" w:rsidRPr="00FC2582">
        <w:rPr>
          <w:color w:val="auto"/>
        </w:rPr>
        <w:t xml:space="preserve">266-288 C. </w:t>
      </w:r>
      <w:r w:rsidR="00CA67BE" w:rsidRPr="00FC2582">
        <w:rPr>
          <w:color w:val="auto"/>
          <w:lang w:val="en-US" w:eastAsia="en-US" w:bidi="en-US"/>
        </w:rPr>
        <w:t>pen.);</w:t>
      </w:r>
    </w:p>
    <w:p w:rsidR="007A1BC0" w:rsidRPr="00FC2582" w:rsidRDefault="00D26D6B" w:rsidP="00D26D6B">
      <w:pPr>
        <w:pStyle w:val="Bodytext20"/>
        <w:shd w:val="clear" w:color="auto" w:fill="auto"/>
        <w:tabs>
          <w:tab w:val="left" w:pos="1548"/>
        </w:tabs>
        <w:spacing w:before="0" w:after="0" w:line="240" w:lineRule="auto"/>
        <w:ind w:left="720" w:firstLine="0"/>
        <w:rPr>
          <w:color w:val="auto"/>
        </w:rPr>
      </w:pPr>
      <w:r w:rsidRPr="00FC2582">
        <w:rPr>
          <w:color w:val="auto"/>
        </w:rPr>
        <w:t>4. I</w:t>
      </w:r>
      <w:r w:rsidR="00CA67BE" w:rsidRPr="00FC2582">
        <w:rPr>
          <w:color w:val="auto"/>
        </w:rPr>
        <w:t xml:space="preserve">nfracţiunile de serviciu sau în legătură cu serviciul </w:t>
      </w:r>
      <w:r w:rsidR="00CA67BE" w:rsidRPr="00FC2582">
        <w:rPr>
          <w:color w:val="auto"/>
          <w:lang w:eastAsia="en-US" w:bidi="en-US"/>
        </w:rPr>
        <w:t xml:space="preserve">(art. </w:t>
      </w:r>
      <w:r w:rsidR="00CA67BE" w:rsidRPr="00FC2582">
        <w:rPr>
          <w:color w:val="auto"/>
        </w:rPr>
        <w:t xml:space="preserve">289-309 C. </w:t>
      </w:r>
      <w:proofErr w:type="spellStart"/>
      <w:r w:rsidR="00CA67BE" w:rsidRPr="00FC2582">
        <w:rPr>
          <w:color w:val="auto"/>
          <w:lang w:eastAsia="en-US" w:bidi="en-US"/>
        </w:rPr>
        <w:t>pen</w:t>
      </w:r>
      <w:proofErr w:type="spellEnd"/>
      <w:r w:rsidR="00CA67BE" w:rsidRPr="00FC2582">
        <w:rPr>
          <w:color w:val="auto"/>
          <w:lang w:eastAsia="en-US" w:bidi="en-US"/>
        </w:rPr>
        <w:t>.)</w:t>
      </w:r>
    </w:p>
    <w:p w:rsidR="007A1BC0" w:rsidRPr="00FC2582" w:rsidRDefault="00D26D6B" w:rsidP="00D26D6B">
      <w:pPr>
        <w:pStyle w:val="Bodytext20"/>
        <w:shd w:val="clear" w:color="auto" w:fill="auto"/>
        <w:tabs>
          <w:tab w:val="left" w:pos="1548"/>
        </w:tabs>
        <w:spacing w:before="0" w:after="0" w:line="240" w:lineRule="auto"/>
        <w:ind w:left="720" w:firstLine="0"/>
        <w:rPr>
          <w:color w:val="auto"/>
        </w:rPr>
      </w:pPr>
      <w:r w:rsidRPr="00FC2582">
        <w:rPr>
          <w:color w:val="auto"/>
        </w:rPr>
        <w:t xml:space="preserve">5. </w:t>
      </w:r>
      <w:r w:rsidR="00CA67BE" w:rsidRPr="00FC2582">
        <w:rPr>
          <w:color w:val="auto"/>
        </w:rPr>
        <w:t xml:space="preserve">Infracţiunile de fals </w:t>
      </w:r>
      <w:r w:rsidR="00CA67BE" w:rsidRPr="00FC2582">
        <w:rPr>
          <w:color w:val="auto"/>
          <w:lang w:eastAsia="en-US" w:bidi="en-US"/>
        </w:rPr>
        <w:t xml:space="preserve">(art. </w:t>
      </w:r>
      <w:r w:rsidR="00CA67BE" w:rsidRPr="00FC2582">
        <w:rPr>
          <w:color w:val="auto"/>
        </w:rPr>
        <w:t xml:space="preserve">310-328 C. </w:t>
      </w:r>
      <w:proofErr w:type="spellStart"/>
      <w:r w:rsidR="00CA67BE" w:rsidRPr="00FC2582">
        <w:rPr>
          <w:color w:val="auto"/>
          <w:lang w:eastAsia="en-US" w:bidi="en-US"/>
        </w:rPr>
        <w:t>pen</w:t>
      </w:r>
      <w:proofErr w:type="spellEnd"/>
      <w:r w:rsidR="00CA67BE" w:rsidRPr="00FC2582">
        <w:rPr>
          <w:color w:val="auto"/>
          <w:lang w:eastAsia="en-US" w:bidi="en-US"/>
        </w:rPr>
        <w:t>.);</w:t>
      </w:r>
    </w:p>
    <w:p w:rsidR="007A1BC0" w:rsidRPr="00FC2582" w:rsidRDefault="00D26D6B" w:rsidP="00D26D6B">
      <w:pPr>
        <w:pStyle w:val="Bodytext20"/>
        <w:shd w:val="clear" w:color="auto" w:fill="auto"/>
        <w:spacing w:before="0" w:after="0" w:line="240" w:lineRule="auto"/>
        <w:ind w:left="720" w:firstLine="0"/>
        <w:jc w:val="left"/>
        <w:rPr>
          <w:color w:val="auto"/>
        </w:rPr>
      </w:pPr>
      <w:r w:rsidRPr="00FC2582">
        <w:rPr>
          <w:color w:val="auto"/>
        </w:rPr>
        <w:t xml:space="preserve">6. </w:t>
      </w:r>
      <w:r w:rsidR="0056761D" w:rsidRPr="00FC2582">
        <w:rPr>
          <w:color w:val="auto"/>
        </w:rPr>
        <w:t>Infracțiuni</w:t>
      </w:r>
      <w:r w:rsidR="00CA67BE" w:rsidRPr="00FC2582">
        <w:rPr>
          <w:color w:val="auto"/>
        </w:rPr>
        <w:t xml:space="preserve"> care aduc atingere unor </w:t>
      </w:r>
      <w:r w:rsidR="0056761D" w:rsidRPr="00FC2582">
        <w:rPr>
          <w:color w:val="auto"/>
        </w:rPr>
        <w:t>relații</w:t>
      </w:r>
      <w:r w:rsidR="00CA67BE" w:rsidRPr="00FC2582">
        <w:rPr>
          <w:color w:val="auto"/>
        </w:rPr>
        <w:t xml:space="preserve"> privind convieţuirea socială </w:t>
      </w:r>
      <w:r w:rsidR="00CA67BE" w:rsidRPr="00FC2582">
        <w:rPr>
          <w:color w:val="auto"/>
          <w:lang w:eastAsia="en-US" w:bidi="en-US"/>
        </w:rPr>
        <w:t>(</w:t>
      </w:r>
      <w:r w:rsidR="00CA67BE" w:rsidRPr="00FC2582">
        <w:rPr>
          <w:color w:val="auto"/>
          <w:lang w:val="en-US" w:eastAsia="en-US" w:bidi="en-US"/>
        </w:rPr>
        <w:t xml:space="preserve">art. </w:t>
      </w:r>
      <w:r w:rsidR="00CA67BE" w:rsidRPr="00FC2582">
        <w:rPr>
          <w:color w:val="auto"/>
        </w:rPr>
        <w:t xml:space="preserve">367, </w:t>
      </w:r>
      <w:r w:rsidR="00CA67BE" w:rsidRPr="00FC2582">
        <w:rPr>
          <w:color w:val="auto"/>
          <w:lang w:val="en-US" w:eastAsia="en-US" w:bidi="en-US"/>
        </w:rPr>
        <w:t xml:space="preserve">art. </w:t>
      </w:r>
      <w:r w:rsidR="00CA67BE" w:rsidRPr="00FC2582">
        <w:rPr>
          <w:color w:val="auto"/>
        </w:rPr>
        <w:t xml:space="preserve">371 şi </w:t>
      </w:r>
      <w:r w:rsidR="00CA67BE" w:rsidRPr="00FC2582">
        <w:rPr>
          <w:color w:val="auto"/>
          <w:lang w:val="en-US" w:eastAsia="en-US" w:bidi="en-US"/>
        </w:rPr>
        <w:t xml:space="preserve">art. </w:t>
      </w:r>
      <w:r w:rsidR="00CA67BE" w:rsidRPr="00FC2582">
        <w:rPr>
          <w:color w:val="auto"/>
        </w:rPr>
        <w:t xml:space="preserve">375-379 C. </w:t>
      </w:r>
      <w:r w:rsidR="00CA67BE" w:rsidRPr="00FC2582">
        <w:rPr>
          <w:color w:val="auto"/>
          <w:lang w:val="en-US" w:eastAsia="en-US" w:bidi="en-US"/>
        </w:rPr>
        <w:t>pen.)</w:t>
      </w:r>
    </w:p>
    <w:p w:rsidR="007A1BC0" w:rsidRPr="00FC2582" w:rsidRDefault="00D26D6B" w:rsidP="00D26D6B">
      <w:pPr>
        <w:pStyle w:val="Bodytext20"/>
        <w:shd w:val="clear" w:color="auto" w:fill="auto"/>
        <w:tabs>
          <w:tab w:val="left" w:pos="1548"/>
        </w:tabs>
        <w:spacing w:before="0" w:after="0" w:line="240" w:lineRule="auto"/>
        <w:ind w:left="720" w:firstLine="0"/>
        <w:rPr>
          <w:color w:val="auto"/>
        </w:rPr>
      </w:pPr>
      <w:r w:rsidRPr="00FC2582">
        <w:rPr>
          <w:color w:val="auto"/>
        </w:rPr>
        <w:t xml:space="preserve">7. </w:t>
      </w:r>
      <w:r w:rsidR="00CA67BE" w:rsidRPr="00FC2582">
        <w:rPr>
          <w:color w:val="auto"/>
        </w:rPr>
        <w:t>Infracţiunile prevăzute în Legea nr. 78/2000;</w:t>
      </w:r>
    </w:p>
    <w:p w:rsidR="007A1BC0" w:rsidRPr="00FC2582" w:rsidRDefault="00D26D6B" w:rsidP="00D26D6B">
      <w:pPr>
        <w:pStyle w:val="Bodytext20"/>
        <w:shd w:val="clear" w:color="auto" w:fill="auto"/>
        <w:tabs>
          <w:tab w:val="left" w:pos="1548"/>
        </w:tabs>
        <w:spacing w:before="0" w:after="0" w:line="240" w:lineRule="auto"/>
        <w:ind w:left="720" w:firstLine="0"/>
        <w:rPr>
          <w:color w:val="auto"/>
        </w:rPr>
      </w:pPr>
      <w:r w:rsidRPr="00FC2582">
        <w:rPr>
          <w:color w:val="auto"/>
        </w:rPr>
        <w:t xml:space="preserve">8. </w:t>
      </w:r>
      <w:r w:rsidR="00CA67BE" w:rsidRPr="00FC2582">
        <w:rPr>
          <w:color w:val="auto"/>
        </w:rPr>
        <w:t>Infracţiunile prevăzute în Legea nr. 143/2000;</w:t>
      </w:r>
    </w:p>
    <w:p w:rsidR="007A1BC0" w:rsidRPr="00FC2582" w:rsidRDefault="00D26D6B" w:rsidP="00D26D6B">
      <w:pPr>
        <w:pStyle w:val="Bodytext20"/>
        <w:shd w:val="clear" w:color="auto" w:fill="auto"/>
        <w:tabs>
          <w:tab w:val="left" w:pos="1548"/>
        </w:tabs>
        <w:spacing w:before="0" w:after="0" w:line="240" w:lineRule="auto"/>
        <w:ind w:left="720" w:firstLine="0"/>
        <w:rPr>
          <w:color w:val="auto"/>
        </w:rPr>
      </w:pPr>
      <w:r w:rsidRPr="00FC2582">
        <w:rPr>
          <w:color w:val="auto"/>
        </w:rPr>
        <w:t xml:space="preserve">9. </w:t>
      </w:r>
      <w:r w:rsidR="00CA67BE" w:rsidRPr="00FC2582">
        <w:rPr>
          <w:color w:val="auto"/>
        </w:rPr>
        <w:t xml:space="preserve">Spălarea banilor </w:t>
      </w:r>
      <w:r w:rsidR="00CA67BE" w:rsidRPr="00FC2582">
        <w:rPr>
          <w:color w:val="auto"/>
          <w:lang w:val="en-US" w:eastAsia="en-US" w:bidi="en-US"/>
        </w:rPr>
        <w:t xml:space="preserve">(art. </w:t>
      </w:r>
      <w:r w:rsidR="00CA67BE" w:rsidRPr="00FC2582">
        <w:rPr>
          <w:color w:val="auto"/>
        </w:rPr>
        <w:t>29 din Legea nr. 656/2002);</w:t>
      </w:r>
    </w:p>
    <w:p w:rsidR="007A1BC0" w:rsidRPr="00FC2582" w:rsidRDefault="00D26D6B" w:rsidP="00D26D6B">
      <w:pPr>
        <w:pStyle w:val="Bodytext20"/>
        <w:shd w:val="clear" w:color="auto" w:fill="auto"/>
        <w:tabs>
          <w:tab w:val="left" w:pos="1589"/>
        </w:tabs>
        <w:spacing w:before="0" w:after="0" w:line="240" w:lineRule="auto"/>
        <w:ind w:left="720" w:firstLine="0"/>
        <w:rPr>
          <w:color w:val="auto"/>
        </w:rPr>
      </w:pPr>
      <w:r w:rsidRPr="00FC2582">
        <w:rPr>
          <w:color w:val="auto"/>
        </w:rPr>
        <w:t xml:space="preserve">10. </w:t>
      </w:r>
      <w:r w:rsidR="00CA67BE" w:rsidRPr="00FC2582">
        <w:rPr>
          <w:color w:val="auto"/>
        </w:rPr>
        <w:t>Infracţiunile prevăzute în Legea nr. 241/2005.</w:t>
      </w:r>
    </w:p>
    <w:p w:rsidR="00D26D6B" w:rsidRPr="00FC2582" w:rsidRDefault="00D26D6B" w:rsidP="00D26D6B">
      <w:pPr>
        <w:pStyle w:val="Bodytext70"/>
        <w:shd w:val="clear" w:color="auto" w:fill="auto"/>
        <w:spacing w:after="0" w:line="240" w:lineRule="auto"/>
        <w:ind w:firstLine="0"/>
        <w:jc w:val="left"/>
        <w:rPr>
          <w:b w:val="0"/>
          <w:bCs w:val="0"/>
          <w:i w:val="0"/>
          <w:iCs w:val="0"/>
          <w:color w:val="auto"/>
        </w:rPr>
      </w:pPr>
    </w:p>
    <w:p w:rsidR="007A1BC0" w:rsidRPr="00FC2582" w:rsidRDefault="00D26D6B" w:rsidP="00D26D6B">
      <w:pPr>
        <w:pStyle w:val="Bodytext70"/>
        <w:shd w:val="clear" w:color="auto" w:fill="auto"/>
        <w:spacing w:after="0" w:line="240" w:lineRule="auto"/>
        <w:ind w:firstLine="0"/>
        <w:jc w:val="left"/>
        <w:rPr>
          <w:color w:val="auto"/>
        </w:rPr>
      </w:pPr>
      <w:r w:rsidRPr="00FC2582">
        <w:rPr>
          <w:rStyle w:val="Bodytext71"/>
          <w:bCs/>
          <w:i/>
          <w:iCs/>
          <w:color w:val="auto"/>
          <w:u w:val="none"/>
        </w:rPr>
        <w:t>Drept procesual penal.</w:t>
      </w:r>
    </w:p>
    <w:p w:rsidR="007A1BC0" w:rsidRPr="00FC2582" w:rsidRDefault="00D26D6B" w:rsidP="00D26D6B">
      <w:pPr>
        <w:pStyle w:val="Bodytext90"/>
        <w:shd w:val="clear" w:color="auto" w:fill="auto"/>
        <w:tabs>
          <w:tab w:val="left" w:pos="-4770"/>
        </w:tabs>
        <w:spacing w:before="0" w:after="0" w:line="240" w:lineRule="auto"/>
        <w:rPr>
          <w:color w:val="auto"/>
        </w:rPr>
      </w:pPr>
      <w:r w:rsidRPr="00FC2582">
        <w:rPr>
          <w:color w:val="auto"/>
        </w:rPr>
        <w:t xml:space="preserve">1. </w:t>
      </w:r>
      <w:r w:rsidR="00CA67BE" w:rsidRPr="00FC2582">
        <w:rPr>
          <w:color w:val="auto"/>
        </w:rPr>
        <w:t>Acţiunile în procesul penal</w:t>
      </w:r>
    </w:p>
    <w:p w:rsidR="007A1BC0" w:rsidRPr="00FC2582" w:rsidRDefault="00CA67BE" w:rsidP="00D26D6B">
      <w:pPr>
        <w:pStyle w:val="Bodytext20"/>
        <w:numPr>
          <w:ilvl w:val="0"/>
          <w:numId w:val="10"/>
        </w:numPr>
        <w:shd w:val="clear" w:color="auto" w:fill="auto"/>
        <w:tabs>
          <w:tab w:val="left" w:pos="-4770"/>
        </w:tabs>
        <w:spacing w:before="0" w:after="0" w:line="240" w:lineRule="auto"/>
        <w:ind w:left="540" w:firstLine="360"/>
        <w:rPr>
          <w:color w:val="auto"/>
        </w:rPr>
      </w:pPr>
      <w:r w:rsidRPr="00FC2582">
        <w:rPr>
          <w:color w:val="auto"/>
        </w:rPr>
        <w:t>Acţiunea penală;</w:t>
      </w:r>
    </w:p>
    <w:p w:rsidR="007A1BC0" w:rsidRPr="00FC2582" w:rsidRDefault="00CA67BE" w:rsidP="00D26D6B">
      <w:pPr>
        <w:pStyle w:val="Bodytext20"/>
        <w:numPr>
          <w:ilvl w:val="0"/>
          <w:numId w:val="10"/>
        </w:numPr>
        <w:shd w:val="clear" w:color="auto" w:fill="auto"/>
        <w:tabs>
          <w:tab w:val="left" w:pos="-4770"/>
        </w:tabs>
        <w:spacing w:before="0" w:after="0" w:line="240" w:lineRule="auto"/>
        <w:ind w:left="540" w:firstLine="360"/>
        <w:rPr>
          <w:color w:val="auto"/>
        </w:rPr>
      </w:pPr>
      <w:r w:rsidRPr="00FC2582">
        <w:rPr>
          <w:color w:val="auto"/>
        </w:rPr>
        <w:t>Acţiunea civilă.</w:t>
      </w:r>
    </w:p>
    <w:p w:rsidR="007A1BC0" w:rsidRPr="00FC2582" w:rsidRDefault="00D26D6B" w:rsidP="00D26D6B">
      <w:pPr>
        <w:pStyle w:val="Bodytext90"/>
        <w:shd w:val="clear" w:color="auto" w:fill="auto"/>
        <w:tabs>
          <w:tab w:val="left" w:pos="-4770"/>
        </w:tabs>
        <w:spacing w:before="0" w:after="0" w:line="240" w:lineRule="auto"/>
        <w:rPr>
          <w:color w:val="auto"/>
        </w:rPr>
      </w:pPr>
      <w:r w:rsidRPr="00FC2582">
        <w:rPr>
          <w:color w:val="auto"/>
        </w:rPr>
        <w:t xml:space="preserve">2. </w:t>
      </w:r>
      <w:r w:rsidR="00CA67BE" w:rsidRPr="00FC2582">
        <w:rPr>
          <w:color w:val="auto"/>
        </w:rPr>
        <w:t>Participanţii în procesul penal</w:t>
      </w:r>
    </w:p>
    <w:p w:rsidR="007A1BC0" w:rsidRPr="00FC2582" w:rsidRDefault="00CA67BE" w:rsidP="00D26D6B">
      <w:pPr>
        <w:pStyle w:val="Bodytext20"/>
        <w:numPr>
          <w:ilvl w:val="0"/>
          <w:numId w:val="11"/>
        </w:numPr>
        <w:shd w:val="clear" w:color="auto" w:fill="auto"/>
        <w:tabs>
          <w:tab w:val="left" w:pos="-4770"/>
        </w:tabs>
        <w:spacing w:before="0" w:after="0" w:line="240" w:lineRule="auto"/>
        <w:ind w:left="540" w:firstLine="360"/>
        <w:rPr>
          <w:color w:val="auto"/>
        </w:rPr>
      </w:pPr>
      <w:r w:rsidRPr="00FC2582">
        <w:rPr>
          <w:color w:val="auto"/>
        </w:rPr>
        <w:t>Dispoziţii generale</w:t>
      </w:r>
    </w:p>
    <w:p w:rsidR="007A1BC0" w:rsidRPr="00FC2582" w:rsidRDefault="00CA67BE" w:rsidP="00D26D6B">
      <w:pPr>
        <w:pStyle w:val="Bodytext20"/>
        <w:numPr>
          <w:ilvl w:val="0"/>
          <w:numId w:val="11"/>
        </w:numPr>
        <w:shd w:val="clear" w:color="auto" w:fill="auto"/>
        <w:tabs>
          <w:tab w:val="left" w:pos="-4770"/>
        </w:tabs>
        <w:spacing w:before="0" w:after="0" w:line="240" w:lineRule="auto"/>
        <w:ind w:left="540" w:firstLine="360"/>
        <w:rPr>
          <w:color w:val="auto"/>
        </w:rPr>
      </w:pPr>
      <w:r w:rsidRPr="00FC2582">
        <w:rPr>
          <w:color w:val="auto"/>
        </w:rPr>
        <w:t>Competenţa organelor judiciare</w:t>
      </w:r>
    </w:p>
    <w:p w:rsidR="007A1BC0" w:rsidRPr="00FC2582" w:rsidRDefault="00CA67BE" w:rsidP="00D26D6B">
      <w:pPr>
        <w:pStyle w:val="Bodytext20"/>
        <w:numPr>
          <w:ilvl w:val="0"/>
          <w:numId w:val="11"/>
        </w:numPr>
        <w:shd w:val="clear" w:color="auto" w:fill="auto"/>
        <w:tabs>
          <w:tab w:val="left" w:pos="-4770"/>
        </w:tabs>
        <w:spacing w:before="0" w:after="0" w:line="240" w:lineRule="auto"/>
        <w:ind w:left="540" w:firstLine="360"/>
        <w:rPr>
          <w:color w:val="auto"/>
        </w:rPr>
      </w:pPr>
      <w:r w:rsidRPr="00FC2582">
        <w:rPr>
          <w:color w:val="auto"/>
        </w:rPr>
        <w:t>Subiecţii procesuali principali şi drepturile acestora</w:t>
      </w:r>
    </w:p>
    <w:p w:rsidR="007A1BC0" w:rsidRPr="00FC2582" w:rsidRDefault="00CA67BE" w:rsidP="00D26D6B">
      <w:pPr>
        <w:pStyle w:val="Bodytext20"/>
        <w:numPr>
          <w:ilvl w:val="0"/>
          <w:numId w:val="11"/>
        </w:numPr>
        <w:shd w:val="clear" w:color="auto" w:fill="auto"/>
        <w:tabs>
          <w:tab w:val="left" w:pos="-4770"/>
          <w:tab w:val="left" w:pos="382"/>
        </w:tabs>
        <w:spacing w:before="0" w:after="0" w:line="240" w:lineRule="auto"/>
        <w:ind w:left="540" w:firstLine="360"/>
        <w:rPr>
          <w:color w:val="auto"/>
        </w:rPr>
      </w:pPr>
      <w:r w:rsidRPr="00FC2582">
        <w:rPr>
          <w:color w:val="auto"/>
        </w:rPr>
        <w:t>Inculpatul şi drepturile acestuia</w:t>
      </w:r>
    </w:p>
    <w:p w:rsidR="007A1BC0" w:rsidRPr="00FC2582" w:rsidRDefault="00CA67BE" w:rsidP="00D26D6B">
      <w:pPr>
        <w:pStyle w:val="Bodytext20"/>
        <w:numPr>
          <w:ilvl w:val="0"/>
          <w:numId w:val="11"/>
        </w:numPr>
        <w:shd w:val="clear" w:color="auto" w:fill="auto"/>
        <w:tabs>
          <w:tab w:val="left" w:pos="-4770"/>
          <w:tab w:val="left" w:pos="382"/>
        </w:tabs>
        <w:spacing w:before="0" w:after="0" w:line="240" w:lineRule="auto"/>
        <w:ind w:left="540" w:firstLine="360"/>
        <w:rPr>
          <w:color w:val="auto"/>
        </w:rPr>
      </w:pPr>
      <w:r w:rsidRPr="00FC2582">
        <w:rPr>
          <w:color w:val="auto"/>
        </w:rPr>
        <w:t>Partea civilă şi drepturile acesteia</w:t>
      </w:r>
    </w:p>
    <w:p w:rsidR="007A1BC0" w:rsidRPr="00FC2582" w:rsidRDefault="00CA67BE" w:rsidP="00D26D6B">
      <w:pPr>
        <w:pStyle w:val="Bodytext20"/>
        <w:numPr>
          <w:ilvl w:val="0"/>
          <w:numId w:val="11"/>
        </w:numPr>
        <w:shd w:val="clear" w:color="auto" w:fill="auto"/>
        <w:tabs>
          <w:tab w:val="left" w:pos="-4770"/>
          <w:tab w:val="left" w:pos="382"/>
        </w:tabs>
        <w:spacing w:before="0" w:after="0" w:line="240" w:lineRule="auto"/>
        <w:ind w:left="540" w:firstLine="360"/>
        <w:rPr>
          <w:color w:val="auto"/>
        </w:rPr>
      </w:pPr>
      <w:r w:rsidRPr="00FC2582">
        <w:rPr>
          <w:color w:val="auto"/>
        </w:rPr>
        <w:t>Partea responsabilă civilmente şi drepturile acesteia</w:t>
      </w:r>
    </w:p>
    <w:p w:rsidR="007A1BC0" w:rsidRPr="00FC2582" w:rsidRDefault="00CA67BE" w:rsidP="00D26D6B">
      <w:pPr>
        <w:pStyle w:val="Bodytext20"/>
        <w:numPr>
          <w:ilvl w:val="0"/>
          <w:numId w:val="11"/>
        </w:numPr>
        <w:shd w:val="clear" w:color="auto" w:fill="auto"/>
        <w:tabs>
          <w:tab w:val="left" w:pos="-4770"/>
          <w:tab w:val="left" w:pos="382"/>
        </w:tabs>
        <w:spacing w:before="0" w:after="0" w:line="240" w:lineRule="auto"/>
        <w:ind w:left="540" w:firstLine="360"/>
        <w:rPr>
          <w:color w:val="auto"/>
        </w:rPr>
      </w:pPr>
      <w:r w:rsidRPr="00FC2582">
        <w:rPr>
          <w:color w:val="auto"/>
        </w:rPr>
        <w:t>Avocatul. Asistenţa juridică şi reprezentarea.</w:t>
      </w:r>
    </w:p>
    <w:p w:rsidR="007A1BC0" w:rsidRPr="00FC2582" w:rsidRDefault="00D26D6B" w:rsidP="00D26D6B">
      <w:pPr>
        <w:pStyle w:val="Bodytext90"/>
        <w:shd w:val="clear" w:color="auto" w:fill="auto"/>
        <w:tabs>
          <w:tab w:val="left" w:pos="-4770"/>
        </w:tabs>
        <w:spacing w:before="0" w:after="0" w:line="240" w:lineRule="auto"/>
        <w:rPr>
          <w:color w:val="auto"/>
        </w:rPr>
      </w:pPr>
      <w:r w:rsidRPr="00FC2582">
        <w:rPr>
          <w:color w:val="auto"/>
        </w:rPr>
        <w:t xml:space="preserve">3. </w:t>
      </w:r>
      <w:r w:rsidR="00CA67BE" w:rsidRPr="00FC2582">
        <w:rPr>
          <w:color w:val="auto"/>
        </w:rPr>
        <w:t>Probele, mijloacele de probă şi procedeele probatorii</w:t>
      </w:r>
    </w:p>
    <w:p w:rsidR="007A1BC0" w:rsidRPr="00FC2582" w:rsidRDefault="00CA67BE" w:rsidP="00D26D6B">
      <w:pPr>
        <w:pStyle w:val="Bodytext20"/>
        <w:numPr>
          <w:ilvl w:val="0"/>
          <w:numId w:val="12"/>
        </w:numPr>
        <w:shd w:val="clear" w:color="auto" w:fill="auto"/>
        <w:tabs>
          <w:tab w:val="left" w:pos="-4770"/>
        </w:tabs>
        <w:spacing w:before="0" w:after="0" w:line="240" w:lineRule="auto"/>
        <w:ind w:left="540" w:firstLine="360"/>
        <w:rPr>
          <w:color w:val="auto"/>
        </w:rPr>
      </w:pPr>
      <w:r w:rsidRPr="00FC2582">
        <w:rPr>
          <w:color w:val="auto"/>
        </w:rPr>
        <w:t>Reguli generale</w:t>
      </w:r>
    </w:p>
    <w:p w:rsidR="007A1BC0" w:rsidRPr="00FC2582" w:rsidRDefault="00CA67BE" w:rsidP="00D26D6B">
      <w:pPr>
        <w:pStyle w:val="Bodytext20"/>
        <w:numPr>
          <w:ilvl w:val="0"/>
          <w:numId w:val="12"/>
        </w:numPr>
        <w:shd w:val="clear" w:color="auto" w:fill="auto"/>
        <w:tabs>
          <w:tab w:val="left" w:pos="-4770"/>
          <w:tab w:val="left" w:pos="397"/>
        </w:tabs>
        <w:spacing w:before="0" w:after="0" w:line="240" w:lineRule="auto"/>
        <w:ind w:left="540" w:firstLine="360"/>
        <w:rPr>
          <w:color w:val="auto"/>
        </w:rPr>
      </w:pPr>
      <w:r w:rsidRPr="00FC2582">
        <w:rPr>
          <w:color w:val="auto"/>
        </w:rPr>
        <w:t>Audierea persoanelor</w:t>
      </w:r>
    </w:p>
    <w:p w:rsidR="007A1BC0" w:rsidRPr="00FC2582" w:rsidRDefault="00CA67BE" w:rsidP="00D26D6B">
      <w:pPr>
        <w:pStyle w:val="Bodytext20"/>
        <w:numPr>
          <w:ilvl w:val="0"/>
          <w:numId w:val="12"/>
        </w:numPr>
        <w:shd w:val="clear" w:color="auto" w:fill="auto"/>
        <w:tabs>
          <w:tab w:val="left" w:pos="-4770"/>
          <w:tab w:val="left" w:pos="397"/>
        </w:tabs>
        <w:spacing w:before="0" w:after="0" w:line="240" w:lineRule="auto"/>
        <w:ind w:left="540" w:firstLine="360"/>
        <w:rPr>
          <w:color w:val="auto"/>
        </w:rPr>
      </w:pPr>
      <w:r w:rsidRPr="00FC2582">
        <w:rPr>
          <w:color w:val="auto"/>
        </w:rPr>
        <w:t>Identificarea persoanelor şi a obiectelor</w:t>
      </w:r>
    </w:p>
    <w:p w:rsidR="007A1BC0" w:rsidRPr="00FC2582" w:rsidRDefault="00CA67BE" w:rsidP="00D26D6B">
      <w:pPr>
        <w:pStyle w:val="Bodytext20"/>
        <w:numPr>
          <w:ilvl w:val="0"/>
          <w:numId w:val="12"/>
        </w:numPr>
        <w:shd w:val="clear" w:color="auto" w:fill="auto"/>
        <w:tabs>
          <w:tab w:val="left" w:pos="-4770"/>
          <w:tab w:val="left" w:pos="397"/>
        </w:tabs>
        <w:spacing w:before="0" w:after="0" w:line="240" w:lineRule="auto"/>
        <w:ind w:left="540" w:firstLine="360"/>
        <w:rPr>
          <w:color w:val="auto"/>
        </w:rPr>
      </w:pPr>
      <w:r w:rsidRPr="00FC2582">
        <w:rPr>
          <w:color w:val="auto"/>
        </w:rPr>
        <w:t>Metode speciale de supraveghere sau cercetare</w:t>
      </w:r>
    </w:p>
    <w:p w:rsidR="007A1BC0" w:rsidRPr="00FC2582" w:rsidRDefault="00CA67BE" w:rsidP="00D26D6B">
      <w:pPr>
        <w:pStyle w:val="Bodytext20"/>
        <w:numPr>
          <w:ilvl w:val="0"/>
          <w:numId w:val="12"/>
        </w:numPr>
        <w:shd w:val="clear" w:color="auto" w:fill="auto"/>
        <w:tabs>
          <w:tab w:val="left" w:pos="-4770"/>
          <w:tab w:val="left" w:pos="397"/>
        </w:tabs>
        <w:spacing w:before="0" w:after="0" w:line="240" w:lineRule="auto"/>
        <w:ind w:left="540" w:firstLine="360"/>
        <w:rPr>
          <w:color w:val="auto"/>
        </w:rPr>
      </w:pPr>
      <w:r w:rsidRPr="00FC2582">
        <w:rPr>
          <w:color w:val="auto"/>
        </w:rPr>
        <w:t>Conservarea datelor informatice</w:t>
      </w:r>
    </w:p>
    <w:p w:rsidR="007A1BC0" w:rsidRPr="00FC2582" w:rsidRDefault="00CA67BE" w:rsidP="00D26D6B">
      <w:pPr>
        <w:pStyle w:val="Bodytext20"/>
        <w:numPr>
          <w:ilvl w:val="0"/>
          <w:numId w:val="12"/>
        </w:numPr>
        <w:shd w:val="clear" w:color="auto" w:fill="auto"/>
        <w:tabs>
          <w:tab w:val="left" w:pos="-4770"/>
          <w:tab w:val="left" w:pos="397"/>
        </w:tabs>
        <w:spacing w:before="0" w:after="0" w:line="240" w:lineRule="auto"/>
        <w:ind w:left="540" w:firstLine="360"/>
        <w:rPr>
          <w:color w:val="auto"/>
        </w:rPr>
      </w:pPr>
      <w:r w:rsidRPr="00FC2582">
        <w:rPr>
          <w:color w:val="auto"/>
        </w:rPr>
        <w:t>Percheziţia şi ridicarea de obiecte şi înscrisuri (Percheziţia domiciliară, Alte forme de percheziţie, Ridicarea de obiecte şi înscrisuri)</w:t>
      </w:r>
    </w:p>
    <w:p w:rsidR="007A1BC0" w:rsidRPr="00FC2582" w:rsidRDefault="00CA67BE" w:rsidP="00D26D6B">
      <w:pPr>
        <w:pStyle w:val="Bodytext20"/>
        <w:numPr>
          <w:ilvl w:val="0"/>
          <w:numId w:val="12"/>
        </w:numPr>
        <w:shd w:val="clear" w:color="auto" w:fill="auto"/>
        <w:tabs>
          <w:tab w:val="left" w:pos="-4770"/>
          <w:tab w:val="left" w:pos="-4680"/>
        </w:tabs>
        <w:spacing w:before="0" w:after="0" w:line="240" w:lineRule="auto"/>
        <w:ind w:left="540" w:firstLine="360"/>
        <w:rPr>
          <w:color w:val="auto"/>
        </w:rPr>
      </w:pPr>
      <w:r w:rsidRPr="00FC2582">
        <w:rPr>
          <w:color w:val="auto"/>
        </w:rPr>
        <w:t>Expertiza şi constatarea</w:t>
      </w:r>
    </w:p>
    <w:p w:rsidR="007A1BC0" w:rsidRPr="00FC2582" w:rsidRDefault="00CA67BE" w:rsidP="00D26D6B">
      <w:pPr>
        <w:pStyle w:val="Bodytext20"/>
        <w:numPr>
          <w:ilvl w:val="0"/>
          <w:numId w:val="12"/>
        </w:numPr>
        <w:shd w:val="clear" w:color="auto" w:fill="auto"/>
        <w:tabs>
          <w:tab w:val="left" w:pos="-4770"/>
          <w:tab w:val="left" w:pos="-4680"/>
        </w:tabs>
        <w:spacing w:before="0" w:after="0" w:line="240" w:lineRule="auto"/>
        <w:ind w:left="540" w:firstLine="360"/>
        <w:rPr>
          <w:color w:val="auto"/>
        </w:rPr>
      </w:pPr>
      <w:r w:rsidRPr="00FC2582">
        <w:rPr>
          <w:color w:val="auto"/>
        </w:rPr>
        <w:t>Cercetarea locului faptei şi reconstituirea</w:t>
      </w:r>
    </w:p>
    <w:p w:rsidR="007A1BC0" w:rsidRPr="00FC2582" w:rsidRDefault="00CA67BE" w:rsidP="00D26D6B">
      <w:pPr>
        <w:pStyle w:val="Bodytext20"/>
        <w:numPr>
          <w:ilvl w:val="0"/>
          <w:numId w:val="12"/>
        </w:numPr>
        <w:shd w:val="clear" w:color="auto" w:fill="auto"/>
        <w:tabs>
          <w:tab w:val="left" w:pos="-4770"/>
          <w:tab w:val="left" w:pos="-4680"/>
        </w:tabs>
        <w:spacing w:before="0" w:after="0" w:line="240" w:lineRule="auto"/>
        <w:ind w:left="540" w:firstLine="360"/>
        <w:rPr>
          <w:color w:val="auto"/>
        </w:rPr>
      </w:pPr>
      <w:r w:rsidRPr="00FC2582">
        <w:rPr>
          <w:color w:val="auto"/>
        </w:rPr>
        <w:t>Fotografierea şi luarea amprentelor suspectului, inculpatului sau ale altor persoane</w:t>
      </w:r>
    </w:p>
    <w:p w:rsidR="007A1BC0" w:rsidRPr="00FC2582" w:rsidRDefault="00CA67BE" w:rsidP="00D26D6B">
      <w:pPr>
        <w:pStyle w:val="Bodytext20"/>
        <w:numPr>
          <w:ilvl w:val="0"/>
          <w:numId w:val="12"/>
        </w:numPr>
        <w:shd w:val="clear" w:color="auto" w:fill="auto"/>
        <w:tabs>
          <w:tab w:val="left" w:pos="-4770"/>
          <w:tab w:val="left" w:pos="-4680"/>
        </w:tabs>
        <w:spacing w:before="0" w:after="0" w:line="240" w:lineRule="auto"/>
        <w:ind w:left="540" w:firstLine="360"/>
        <w:rPr>
          <w:color w:val="auto"/>
        </w:rPr>
      </w:pPr>
      <w:r w:rsidRPr="00FC2582">
        <w:rPr>
          <w:color w:val="auto"/>
        </w:rPr>
        <w:t>Mijloace materiale de probă</w:t>
      </w:r>
    </w:p>
    <w:p w:rsidR="007A1BC0" w:rsidRPr="00FC2582" w:rsidRDefault="00CA67BE" w:rsidP="00D26D6B">
      <w:pPr>
        <w:pStyle w:val="Bodytext20"/>
        <w:numPr>
          <w:ilvl w:val="0"/>
          <w:numId w:val="12"/>
        </w:numPr>
        <w:shd w:val="clear" w:color="auto" w:fill="auto"/>
        <w:tabs>
          <w:tab w:val="left" w:pos="-4770"/>
          <w:tab w:val="left" w:pos="-4680"/>
        </w:tabs>
        <w:spacing w:before="0" w:after="0" w:line="240" w:lineRule="auto"/>
        <w:ind w:left="540" w:firstLine="360"/>
        <w:rPr>
          <w:color w:val="auto"/>
        </w:rPr>
      </w:pPr>
      <w:r w:rsidRPr="00FC2582">
        <w:rPr>
          <w:color w:val="auto"/>
        </w:rPr>
        <w:t>Înscrisurile</w:t>
      </w:r>
    </w:p>
    <w:p w:rsidR="007A1BC0" w:rsidRPr="00FC2582" w:rsidRDefault="00D26D6B" w:rsidP="00D26D6B">
      <w:pPr>
        <w:pStyle w:val="Bodytext90"/>
        <w:shd w:val="clear" w:color="auto" w:fill="auto"/>
        <w:tabs>
          <w:tab w:val="left" w:pos="-4770"/>
        </w:tabs>
        <w:spacing w:before="0" w:after="0" w:line="240" w:lineRule="auto"/>
        <w:rPr>
          <w:color w:val="auto"/>
        </w:rPr>
      </w:pPr>
      <w:r w:rsidRPr="00FC2582">
        <w:rPr>
          <w:color w:val="auto"/>
        </w:rPr>
        <w:t xml:space="preserve">4. </w:t>
      </w:r>
      <w:r w:rsidR="00CA67BE" w:rsidRPr="00FC2582">
        <w:rPr>
          <w:color w:val="auto"/>
        </w:rPr>
        <w:t>Măsurile preventive şi alte măsuri procesuale</w:t>
      </w:r>
    </w:p>
    <w:p w:rsidR="007A1BC0" w:rsidRPr="00FC2582" w:rsidRDefault="00CA67BE" w:rsidP="00D26D6B">
      <w:pPr>
        <w:pStyle w:val="Bodytext20"/>
        <w:numPr>
          <w:ilvl w:val="0"/>
          <w:numId w:val="13"/>
        </w:numPr>
        <w:shd w:val="clear" w:color="auto" w:fill="auto"/>
        <w:tabs>
          <w:tab w:val="left" w:pos="378"/>
        </w:tabs>
        <w:spacing w:before="0" w:after="0" w:line="240" w:lineRule="auto"/>
        <w:ind w:left="540" w:firstLine="360"/>
        <w:rPr>
          <w:color w:val="auto"/>
        </w:rPr>
      </w:pPr>
      <w:r w:rsidRPr="00FC2582">
        <w:rPr>
          <w:color w:val="auto"/>
        </w:rPr>
        <w:t xml:space="preserve">Măsurile </w:t>
      </w:r>
      <w:r w:rsidRPr="00FC2582">
        <w:rPr>
          <w:color w:val="auto"/>
          <w:lang w:val="en-US" w:eastAsia="en-US" w:bidi="en-US"/>
        </w:rPr>
        <w:t>preventive</w:t>
      </w:r>
    </w:p>
    <w:p w:rsidR="007A1BC0" w:rsidRPr="00FC2582" w:rsidRDefault="00CA67BE" w:rsidP="00D26D6B">
      <w:pPr>
        <w:pStyle w:val="Bodytext20"/>
        <w:numPr>
          <w:ilvl w:val="0"/>
          <w:numId w:val="13"/>
        </w:numPr>
        <w:shd w:val="clear" w:color="auto" w:fill="auto"/>
        <w:tabs>
          <w:tab w:val="left" w:pos="378"/>
        </w:tabs>
        <w:spacing w:before="0" w:after="0" w:line="240" w:lineRule="auto"/>
        <w:ind w:left="540" w:firstLine="360"/>
        <w:rPr>
          <w:color w:val="auto"/>
        </w:rPr>
      </w:pPr>
      <w:r w:rsidRPr="00FC2582">
        <w:rPr>
          <w:color w:val="auto"/>
        </w:rPr>
        <w:t>Aplicarea provizorie a măsurilor de siguranţă cu caracter medical</w:t>
      </w:r>
    </w:p>
    <w:p w:rsidR="007A1BC0" w:rsidRDefault="00CA67BE" w:rsidP="00D26D6B">
      <w:pPr>
        <w:pStyle w:val="Bodytext20"/>
        <w:numPr>
          <w:ilvl w:val="0"/>
          <w:numId w:val="13"/>
        </w:numPr>
        <w:shd w:val="clear" w:color="auto" w:fill="auto"/>
        <w:tabs>
          <w:tab w:val="left" w:pos="378"/>
        </w:tabs>
        <w:spacing w:before="0" w:after="0" w:line="240" w:lineRule="auto"/>
        <w:ind w:left="540" w:firstLine="360"/>
        <w:rPr>
          <w:color w:val="auto"/>
        </w:rPr>
      </w:pPr>
      <w:r w:rsidRPr="00FC2582">
        <w:rPr>
          <w:color w:val="auto"/>
        </w:rPr>
        <w:t>Măsurile asigurătorii, restituirea lucrurilor şi restabilirea situaţiei anterioare săvârşirii infracţiunii.</w:t>
      </w:r>
    </w:p>
    <w:p w:rsidR="00FC2582" w:rsidRPr="00FC2582" w:rsidRDefault="00FC2582" w:rsidP="00FC2582">
      <w:pPr>
        <w:pStyle w:val="Bodytext20"/>
        <w:shd w:val="clear" w:color="auto" w:fill="auto"/>
        <w:tabs>
          <w:tab w:val="left" w:pos="378"/>
        </w:tabs>
        <w:spacing w:before="0" w:after="0" w:line="240" w:lineRule="auto"/>
        <w:ind w:left="900" w:firstLine="0"/>
        <w:rPr>
          <w:color w:val="auto"/>
        </w:rPr>
      </w:pPr>
    </w:p>
    <w:p w:rsidR="007A1BC0" w:rsidRPr="00FC2582" w:rsidRDefault="00D26D6B" w:rsidP="00D26D6B">
      <w:pPr>
        <w:pStyle w:val="Bodytext90"/>
        <w:shd w:val="clear" w:color="auto" w:fill="auto"/>
        <w:tabs>
          <w:tab w:val="left" w:pos="363"/>
        </w:tabs>
        <w:spacing w:before="0" w:after="0" w:line="240" w:lineRule="auto"/>
        <w:rPr>
          <w:color w:val="auto"/>
        </w:rPr>
      </w:pPr>
      <w:r w:rsidRPr="00FC2582">
        <w:rPr>
          <w:color w:val="auto"/>
        </w:rPr>
        <w:t xml:space="preserve">5. </w:t>
      </w:r>
      <w:r w:rsidR="00CA67BE" w:rsidRPr="00FC2582">
        <w:rPr>
          <w:color w:val="auto"/>
        </w:rPr>
        <w:t>Acte procesuale şi procedurale comune</w:t>
      </w:r>
    </w:p>
    <w:p w:rsidR="007A1BC0" w:rsidRPr="00FC2582" w:rsidRDefault="00CA67BE" w:rsidP="003250DF">
      <w:pPr>
        <w:pStyle w:val="Bodytext20"/>
        <w:numPr>
          <w:ilvl w:val="0"/>
          <w:numId w:val="14"/>
        </w:numPr>
        <w:shd w:val="clear" w:color="auto" w:fill="auto"/>
        <w:spacing w:before="0" w:after="0" w:line="240" w:lineRule="auto"/>
        <w:ind w:left="540" w:firstLine="360"/>
        <w:rPr>
          <w:color w:val="auto"/>
        </w:rPr>
      </w:pPr>
      <w:r w:rsidRPr="00FC2582">
        <w:rPr>
          <w:color w:val="auto"/>
        </w:rPr>
        <w:t>Citarea, comunicarea actelor procedurale şi mandatul de aducere</w:t>
      </w:r>
    </w:p>
    <w:p w:rsidR="007A1BC0" w:rsidRPr="00FC2582" w:rsidRDefault="00CA67BE" w:rsidP="003250DF">
      <w:pPr>
        <w:pStyle w:val="Bodytext20"/>
        <w:numPr>
          <w:ilvl w:val="0"/>
          <w:numId w:val="14"/>
        </w:numPr>
        <w:shd w:val="clear" w:color="auto" w:fill="auto"/>
        <w:spacing w:before="0" w:after="0" w:line="240" w:lineRule="auto"/>
        <w:ind w:left="540" w:firstLine="360"/>
        <w:rPr>
          <w:color w:val="auto"/>
        </w:rPr>
      </w:pPr>
      <w:r w:rsidRPr="00FC2582">
        <w:rPr>
          <w:color w:val="auto"/>
        </w:rPr>
        <w:lastRenderedPageBreak/>
        <w:t>Termenele</w:t>
      </w:r>
    </w:p>
    <w:p w:rsidR="007A1BC0" w:rsidRPr="00FC2582" w:rsidRDefault="00CA67BE" w:rsidP="003250DF">
      <w:pPr>
        <w:pStyle w:val="Bodytext20"/>
        <w:numPr>
          <w:ilvl w:val="0"/>
          <w:numId w:val="14"/>
        </w:numPr>
        <w:shd w:val="clear" w:color="auto" w:fill="auto"/>
        <w:spacing w:before="0" w:after="0" w:line="240" w:lineRule="auto"/>
        <w:ind w:left="540" w:firstLine="360"/>
        <w:rPr>
          <w:color w:val="auto"/>
        </w:rPr>
      </w:pPr>
      <w:r w:rsidRPr="00FC2582">
        <w:rPr>
          <w:color w:val="auto"/>
        </w:rPr>
        <w:t>Cheltuielile judiciare</w:t>
      </w:r>
    </w:p>
    <w:p w:rsidR="007A1BC0" w:rsidRPr="00FC2582" w:rsidRDefault="00CA67BE" w:rsidP="003250DF">
      <w:pPr>
        <w:pStyle w:val="Bodytext20"/>
        <w:numPr>
          <w:ilvl w:val="0"/>
          <w:numId w:val="14"/>
        </w:numPr>
        <w:shd w:val="clear" w:color="auto" w:fill="auto"/>
        <w:spacing w:before="0" w:after="0" w:line="240" w:lineRule="auto"/>
        <w:ind w:left="540" w:firstLine="360"/>
        <w:rPr>
          <w:color w:val="auto"/>
        </w:rPr>
      </w:pPr>
      <w:r w:rsidRPr="00FC2582">
        <w:rPr>
          <w:color w:val="auto"/>
        </w:rPr>
        <w:t>Modificarea actelor procedurale, îndreptarea erorilor materiale şi înlăturarea unor omisiuni vădite</w:t>
      </w:r>
    </w:p>
    <w:p w:rsidR="007A1BC0" w:rsidRPr="00FC2582" w:rsidRDefault="00CA67BE" w:rsidP="003250DF">
      <w:pPr>
        <w:pStyle w:val="Bodytext20"/>
        <w:numPr>
          <w:ilvl w:val="0"/>
          <w:numId w:val="14"/>
        </w:numPr>
        <w:shd w:val="clear" w:color="auto" w:fill="auto"/>
        <w:spacing w:before="0" w:after="0" w:line="240" w:lineRule="auto"/>
        <w:ind w:left="540" w:firstLine="360"/>
        <w:rPr>
          <w:color w:val="auto"/>
        </w:rPr>
      </w:pPr>
      <w:r w:rsidRPr="00FC2582">
        <w:rPr>
          <w:color w:val="auto"/>
        </w:rPr>
        <w:t>Nulităţile</w:t>
      </w:r>
    </w:p>
    <w:p w:rsidR="007A1BC0" w:rsidRPr="00FC2582" w:rsidRDefault="00CA67BE" w:rsidP="003250DF">
      <w:pPr>
        <w:pStyle w:val="Bodytext20"/>
        <w:numPr>
          <w:ilvl w:val="0"/>
          <w:numId w:val="14"/>
        </w:numPr>
        <w:shd w:val="clear" w:color="auto" w:fill="auto"/>
        <w:spacing w:before="0" w:after="0" w:line="240" w:lineRule="auto"/>
        <w:ind w:left="540" w:firstLine="360"/>
        <w:rPr>
          <w:color w:val="auto"/>
        </w:rPr>
      </w:pPr>
      <w:r w:rsidRPr="00FC2582">
        <w:rPr>
          <w:color w:val="auto"/>
        </w:rPr>
        <w:t>Amenda judiciară</w:t>
      </w:r>
    </w:p>
    <w:p w:rsidR="007A1BC0" w:rsidRPr="00FC2582" w:rsidRDefault="003250DF" w:rsidP="003250DF">
      <w:pPr>
        <w:pStyle w:val="Bodytext90"/>
        <w:shd w:val="clear" w:color="auto" w:fill="auto"/>
        <w:tabs>
          <w:tab w:val="left" w:pos="363"/>
        </w:tabs>
        <w:spacing w:before="0" w:after="0" w:line="240" w:lineRule="auto"/>
        <w:rPr>
          <w:color w:val="auto"/>
        </w:rPr>
      </w:pPr>
      <w:r w:rsidRPr="00FC2582">
        <w:rPr>
          <w:color w:val="auto"/>
        </w:rPr>
        <w:t xml:space="preserve">6. </w:t>
      </w:r>
      <w:r w:rsidR="00CA67BE" w:rsidRPr="00FC2582">
        <w:rPr>
          <w:color w:val="auto"/>
        </w:rPr>
        <w:t>Urmărirea penală</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Dispoziţii generale</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Sesizarea organelor de urmărire penală</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Conducerea şi supravegherea activităţii organelor de cercetare penală de către procuror</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Efectuarea urmăririi penale (Desfăşurarea urmăririi penale, Suspendarea urmăririi penale, Clasarea şi renunţarea la urmărirea penală, Terminarea urmăririi penale, Dispoziţii privind efectuarea urmăririi penale de către procuror)</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Rezolvarea cauzelor şi sesizarea instanţei</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Reluarea urmăririi penale</w:t>
      </w:r>
    </w:p>
    <w:p w:rsidR="007A1BC0" w:rsidRPr="00FC2582" w:rsidRDefault="00CA67BE" w:rsidP="003250DF">
      <w:pPr>
        <w:pStyle w:val="Bodytext20"/>
        <w:numPr>
          <w:ilvl w:val="0"/>
          <w:numId w:val="15"/>
        </w:numPr>
        <w:shd w:val="clear" w:color="auto" w:fill="auto"/>
        <w:tabs>
          <w:tab w:val="left" w:pos="-4860"/>
        </w:tabs>
        <w:spacing w:before="0" w:after="0" w:line="240" w:lineRule="auto"/>
        <w:ind w:left="540" w:firstLine="360"/>
        <w:rPr>
          <w:color w:val="auto"/>
        </w:rPr>
      </w:pPr>
      <w:r w:rsidRPr="00FC2582">
        <w:rPr>
          <w:color w:val="auto"/>
        </w:rPr>
        <w:t>Plângerea împotriva măsurilor şi actelor de urmărire penală</w:t>
      </w:r>
    </w:p>
    <w:p w:rsidR="007A1BC0" w:rsidRPr="00FC2582" w:rsidRDefault="003250DF" w:rsidP="003250DF">
      <w:pPr>
        <w:pStyle w:val="Bodytext90"/>
        <w:shd w:val="clear" w:color="auto" w:fill="auto"/>
        <w:tabs>
          <w:tab w:val="left" w:pos="363"/>
        </w:tabs>
        <w:spacing w:before="0" w:after="0" w:line="240" w:lineRule="auto"/>
        <w:rPr>
          <w:color w:val="auto"/>
        </w:rPr>
      </w:pPr>
      <w:r w:rsidRPr="00FC2582">
        <w:rPr>
          <w:color w:val="auto"/>
        </w:rPr>
        <w:t xml:space="preserve">7. </w:t>
      </w:r>
      <w:r w:rsidR="00CA67BE" w:rsidRPr="00FC2582">
        <w:rPr>
          <w:color w:val="auto"/>
        </w:rPr>
        <w:t>Camera preliminară</w:t>
      </w:r>
    </w:p>
    <w:p w:rsidR="007A1BC0" w:rsidRPr="00FC2582" w:rsidRDefault="003250DF" w:rsidP="003250DF">
      <w:pPr>
        <w:pStyle w:val="Bodytext90"/>
        <w:shd w:val="clear" w:color="auto" w:fill="auto"/>
        <w:tabs>
          <w:tab w:val="left" w:pos="363"/>
        </w:tabs>
        <w:spacing w:before="0" w:after="0" w:line="240" w:lineRule="auto"/>
        <w:rPr>
          <w:color w:val="auto"/>
        </w:rPr>
      </w:pPr>
      <w:r w:rsidRPr="00FC2582">
        <w:rPr>
          <w:color w:val="auto"/>
        </w:rPr>
        <w:t xml:space="preserve">8. </w:t>
      </w:r>
      <w:r w:rsidR="00CA67BE" w:rsidRPr="00FC2582">
        <w:rPr>
          <w:color w:val="auto"/>
        </w:rPr>
        <w:t>Judecata</w:t>
      </w:r>
    </w:p>
    <w:p w:rsidR="007A1BC0" w:rsidRPr="00FC2582" w:rsidRDefault="00CA67BE" w:rsidP="003250DF">
      <w:pPr>
        <w:pStyle w:val="Bodytext20"/>
        <w:numPr>
          <w:ilvl w:val="0"/>
          <w:numId w:val="16"/>
        </w:numPr>
        <w:shd w:val="clear" w:color="auto" w:fill="auto"/>
        <w:tabs>
          <w:tab w:val="left" w:pos="378"/>
        </w:tabs>
        <w:spacing w:before="0" w:after="0" w:line="240" w:lineRule="auto"/>
        <w:ind w:left="360" w:firstLine="630"/>
        <w:rPr>
          <w:color w:val="auto"/>
        </w:rPr>
      </w:pPr>
      <w:r w:rsidRPr="00FC2582">
        <w:rPr>
          <w:color w:val="auto"/>
        </w:rPr>
        <w:t>Dispoziţii generale</w:t>
      </w:r>
    </w:p>
    <w:p w:rsidR="007A1BC0" w:rsidRPr="00FC2582" w:rsidRDefault="00CA67BE" w:rsidP="003250DF">
      <w:pPr>
        <w:pStyle w:val="Bodytext20"/>
        <w:numPr>
          <w:ilvl w:val="0"/>
          <w:numId w:val="16"/>
        </w:numPr>
        <w:shd w:val="clear" w:color="auto" w:fill="auto"/>
        <w:tabs>
          <w:tab w:val="left" w:pos="378"/>
        </w:tabs>
        <w:spacing w:before="0" w:after="0" w:line="240" w:lineRule="auto"/>
        <w:ind w:left="360" w:firstLine="630"/>
        <w:rPr>
          <w:color w:val="auto"/>
        </w:rPr>
      </w:pPr>
      <w:r w:rsidRPr="00FC2582">
        <w:rPr>
          <w:color w:val="auto"/>
        </w:rPr>
        <w:t>Judecata în primă instanţă (Desfăşurarea judecării cauzelor, Deliberarea şi hotărârea instanţei)</w:t>
      </w:r>
    </w:p>
    <w:p w:rsidR="007A1BC0" w:rsidRPr="00FC2582" w:rsidRDefault="00CA67BE" w:rsidP="003250DF">
      <w:pPr>
        <w:pStyle w:val="Bodytext20"/>
        <w:numPr>
          <w:ilvl w:val="0"/>
          <w:numId w:val="16"/>
        </w:numPr>
        <w:shd w:val="clear" w:color="auto" w:fill="auto"/>
        <w:tabs>
          <w:tab w:val="left" w:pos="378"/>
        </w:tabs>
        <w:spacing w:before="0" w:after="0" w:line="240" w:lineRule="auto"/>
        <w:ind w:left="360" w:firstLine="630"/>
        <w:rPr>
          <w:color w:val="auto"/>
        </w:rPr>
      </w:pPr>
      <w:r w:rsidRPr="00FC2582">
        <w:rPr>
          <w:color w:val="auto"/>
        </w:rPr>
        <w:t>Apelul</w:t>
      </w:r>
    </w:p>
    <w:p w:rsidR="007A1BC0" w:rsidRPr="00FC2582" w:rsidRDefault="00CA67BE" w:rsidP="003250DF">
      <w:pPr>
        <w:pStyle w:val="Bodytext20"/>
        <w:numPr>
          <w:ilvl w:val="0"/>
          <w:numId w:val="16"/>
        </w:numPr>
        <w:shd w:val="clear" w:color="auto" w:fill="auto"/>
        <w:tabs>
          <w:tab w:val="left" w:pos="382"/>
        </w:tabs>
        <w:spacing w:before="0" w:after="0" w:line="240" w:lineRule="auto"/>
        <w:ind w:left="360" w:firstLine="630"/>
        <w:rPr>
          <w:color w:val="auto"/>
        </w:rPr>
      </w:pPr>
      <w:r w:rsidRPr="00FC2582">
        <w:rPr>
          <w:color w:val="auto"/>
        </w:rPr>
        <w:t>Căile extraordinare de atac (Contestaţia în anulare, Recursul în casaţie)</w:t>
      </w:r>
    </w:p>
    <w:p w:rsidR="007A1BC0" w:rsidRPr="00FC2582" w:rsidRDefault="003250DF" w:rsidP="003250DF">
      <w:pPr>
        <w:pStyle w:val="Bodytext20"/>
        <w:shd w:val="clear" w:color="auto" w:fill="auto"/>
        <w:tabs>
          <w:tab w:val="left" w:pos="363"/>
        </w:tabs>
        <w:spacing w:before="0" w:after="0" w:line="240" w:lineRule="auto"/>
        <w:ind w:firstLine="0"/>
        <w:rPr>
          <w:color w:val="auto"/>
        </w:rPr>
      </w:pPr>
      <w:r w:rsidRPr="00FC2582">
        <w:rPr>
          <w:rStyle w:val="Bodytext2Italic"/>
          <w:color w:val="auto"/>
        </w:rPr>
        <w:t xml:space="preserve">9. </w:t>
      </w:r>
      <w:r w:rsidR="00CA67BE" w:rsidRPr="00FC2582">
        <w:rPr>
          <w:rStyle w:val="Bodytext2Italic"/>
          <w:color w:val="auto"/>
        </w:rPr>
        <w:t>Proceduri speciale</w:t>
      </w:r>
      <w:r w:rsidR="00CA67BE" w:rsidRPr="00FC2582">
        <w:rPr>
          <w:color w:val="auto"/>
        </w:rPr>
        <w:t xml:space="preserve"> (Acordul de recunoaştere a vinovăţiei, Procedura privind tragerea la răspundere penală a persoanei juridice)</w:t>
      </w:r>
    </w:p>
    <w:p w:rsidR="007A1BC0" w:rsidRPr="00FC2582" w:rsidRDefault="003250DF" w:rsidP="003250DF">
      <w:pPr>
        <w:pStyle w:val="Bodytext90"/>
        <w:shd w:val="clear" w:color="auto" w:fill="auto"/>
        <w:tabs>
          <w:tab w:val="left" w:pos="483"/>
        </w:tabs>
        <w:spacing w:before="0" w:after="0" w:line="240" w:lineRule="auto"/>
        <w:rPr>
          <w:rStyle w:val="Bodytext9NotItalic0"/>
          <w:color w:val="auto"/>
        </w:rPr>
      </w:pPr>
      <w:r w:rsidRPr="00FC2582">
        <w:rPr>
          <w:color w:val="auto"/>
        </w:rPr>
        <w:t xml:space="preserve">10. </w:t>
      </w:r>
      <w:r w:rsidR="00CA67BE" w:rsidRPr="00FC2582">
        <w:rPr>
          <w:color w:val="auto"/>
        </w:rPr>
        <w:t>Executarea hotărârilor penale</w:t>
      </w:r>
      <w:r w:rsidR="00CA67BE" w:rsidRPr="00FC2582">
        <w:rPr>
          <w:rStyle w:val="Bodytext9NotItalic0"/>
          <w:color w:val="auto"/>
        </w:rPr>
        <w:t xml:space="preserve"> (Contestaţia la executare)</w:t>
      </w:r>
    </w:p>
    <w:p w:rsidR="003250DF" w:rsidRPr="00FC2582" w:rsidRDefault="003250DF" w:rsidP="003250DF">
      <w:pPr>
        <w:pStyle w:val="Bodytext90"/>
        <w:shd w:val="clear" w:color="auto" w:fill="auto"/>
        <w:tabs>
          <w:tab w:val="left" w:pos="483"/>
        </w:tabs>
        <w:spacing w:before="0" w:after="0" w:line="240" w:lineRule="auto"/>
        <w:rPr>
          <w:rStyle w:val="Bodytext9NotItalic0"/>
          <w:color w:val="auto"/>
        </w:rPr>
      </w:pPr>
    </w:p>
    <w:p w:rsidR="003250DF" w:rsidRDefault="003250DF" w:rsidP="003250DF">
      <w:pPr>
        <w:pStyle w:val="Bodytext90"/>
        <w:shd w:val="clear" w:color="auto" w:fill="auto"/>
        <w:tabs>
          <w:tab w:val="left" w:pos="483"/>
        </w:tabs>
        <w:spacing w:before="0" w:after="0" w:line="240" w:lineRule="auto"/>
        <w:rPr>
          <w:color w:val="auto"/>
        </w:rPr>
      </w:pPr>
    </w:p>
    <w:p w:rsidR="00FC2582" w:rsidRDefault="00FC2582" w:rsidP="003250DF">
      <w:pPr>
        <w:pStyle w:val="Bodytext90"/>
        <w:shd w:val="clear" w:color="auto" w:fill="auto"/>
        <w:tabs>
          <w:tab w:val="left" w:pos="483"/>
        </w:tabs>
        <w:spacing w:before="0" w:after="0" w:line="240" w:lineRule="auto"/>
        <w:rPr>
          <w:color w:val="auto"/>
        </w:rPr>
      </w:pPr>
    </w:p>
    <w:p w:rsidR="00FC2582" w:rsidRDefault="00FC2582" w:rsidP="003250DF">
      <w:pPr>
        <w:pStyle w:val="Bodytext90"/>
        <w:shd w:val="clear" w:color="auto" w:fill="auto"/>
        <w:tabs>
          <w:tab w:val="left" w:pos="483"/>
        </w:tabs>
        <w:spacing w:before="0" w:after="0" w:line="240" w:lineRule="auto"/>
        <w:rPr>
          <w:color w:val="auto"/>
        </w:rPr>
      </w:pPr>
    </w:p>
    <w:p w:rsidR="00FC2582" w:rsidRDefault="00FC2582" w:rsidP="003250DF">
      <w:pPr>
        <w:pStyle w:val="Bodytext90"/>
        <w:shd w:val="clear" w:color="auto" w:fill="auto"/>
        <w:tabs>
          <w:tab w:val="left" w:pos="483"/>
        </w:tabs>
        <w:spacing w:before="0" w:after="0" w:line="240" w:lineRule="auto"/>
        <w:rPr>
          <w:color w:val="auto"/>
        </w:rPr>
      </w:pPr>
    </w:p>
    <w:p w:rsidR="00FC2582" w:rsidRDefault="00FC2582" w:rsidP="003250DF">
      <w:pPr>
        <w:pStyle w:val="Bodytext90"/>
        <w:shd w:val="clear" w:color="auto" w:fill="auto"/>
        <w:tabs>
          <w:tab w:val="left" w:pos="483"/>
        </w:tabs>
        <w:spacing w:before="0" w:after="0" w:line="240" w:lineRule="auto"/>
        <w:rPr>
          <w:color w:val="auto"/>
        </w:rPr>
      </w:pPr>
    </w:p>
    <w:p w:rsidR="0056761D" w:rsidRDefault="0056761D"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5F62E4" w:rsidRDefault="005F62E4" w:rsidP="003250DF">
      <w:pPr>
        <w:pStyle w:val="Bodytext90"/>
        <w:shd w:val="clear" w:color="auto" w:fill="auto"/>
        <w:tabs>
          <w:tab w:val="left" w:pos="483"/>
        </w:tabs>
        <w:spacing w:before="0" w:after="0" w:line="240" w:lineRule="auto"/>
        <w:rPr>
          <w:color w:val="auto"/>
        </w:rPr>
      </w:pPr>
    </w:p>
    <w:p w:rsidR="00FC2582" w:rsidRDefault="00FC2582" w:rsidP="003250DF">
      <w:pPr>
        <w:pStyle w:val="Bodytext90"/>
        <w:shd w:val="clear" w:color="auto" w:fill="auto"/>
        <w:tabs>
          <w:tab w:val="left" w:pos="483"/>
        </w:tabs>
        <w:spacing w:before="0" w:after="0" w:line="240" w:lineRule="auto"/>
        <w:rPr>
          <w:color w:val="auto"/>
        </w:rPr>
      </w:pPr>
    </w:p>
    <w:p w:rsidR="00FC2582" w:rsidRPr="00FC2582" w:rsidRDefault="00FC2582" w:rsidP="003250DF">
      <w:pPr>
        <w:pStyle w:val="Bodytext90"/>
        <w:shd w:val="clear" w:color="auto" w:fill="auto"/>
        <w:tabs>
          <w:tab w:val="left" w:pos="483"/>
        </w:tabs>
        <w:spacing w:before="0" w:after="0" w:line="240" w:lineRule="auto"/>
        <w:rPr>
          <w:color w:val="auto"/>
        </w:rPr>
      </w:pPr>
    </w:p>
    <w:p w:rsidR="00BB5F17" w:rsidRPr="00FC2582" w:rsidRDefault="00BB5F17" w:rsidP="003250DF">
      <w:pPr>
        <w:pStyle w:val="Bodytext90"/>
        <w:shd w:val="clear" w:color="auto" w:fill="auto"/>
        <w:tabs>
          <w:tab w:val="left" w:pos="483"/>
        </w:tabs>
        <w:spacing w:before="0" w:after="0" w:line="240" w:lineRule="auto"/>
        <w:rPr>
          <w:color w:val="auto"/>
        </w:rPr>
      </w:pPr>
    </w:p>
    <w:p w:rsidR="007A1BC0" w:rsidRPr="00FC2582" w:rsidRDefault="003250DF" w:rsidP="003250DF">
      <w:pPr>
        <w:pStyle w:val="Bodytext70"/>
        <w:shd w:val="clear" w:color="auto" w:fill="auto"/>
        <w:tabs>
          <w:tab w:val="left" w:pos="3782"/>
        </w:tabs>
        <w:spacing w:after="0" w:line="240" w:lineRule="auto"/>
        <w:ind w:firstLine="0"/>
        <w:jc w:val="both"/>
        <w:rPr>
          <w:color w:val="auto"/>
        </w:rPr>
      </w:pPr>
      <w:r w:rsidRPr="00FC2582">
        <w:rPr>
          <w:rStyle w:val="Bodytext7NotItalic"/>
          <w:b/>
          <w:bCs/>
          <w:color w:val="auto"/>
        </w:rPr>
        <w:lastRenderedPageBreak/>
        <w:t xml:space="preserve">C. </w:t>
      </w:r>
      <w:r w:rsidR="00CA67BE" w:rsidRPr="00FC2582">
        <w:rPr>
          <w:rStyle w:val="Bodytext7NotItalic"/>
          <w:b/>
          <w:bCs/>
          <w:color w:val="auto"/>
        </w:rPr>
        <w:t>Modul „</w:t>
      </w:r>
      <w:r w:rsidR="00CA67BE" w:rsidRPr="00FC2582">
        <w:rPr>
          <w:rStyle w:val="Bodytext71"/>
          <w:b/>
          <w:bCs/>
          <w:i/>
          <w:iCs/>
          <w:color w:val="auto"/>
        </w:rPr>
        <w:t>Drept european</w:t>
      </w:r>
      <w:r w:rsidR="00CA67BE" w:rsidRPr="00FC2582">
        <w:rPr>
          <w:rStyle w:val="Bodytext7NotItalic"/>
          <w:b/>
          <w:bCs/>
          <w:color w:val="auto"/>
        </w:rPr>
        <w:t>"</w:t>
      </w:r>
    </w:p>
    <w:p w:rsidR="00BB5F17" w:rsidRPr="00FC2582" w:rsidRDefault="00BB5F17" w:rsidP="003A1DE8">
      <w:pPr>
        <w:pStyle w:val="Bodytext80"/>
        <w:shd w:val="clear" w:color="auto" w:fill="auto"/>
        <w:spacing w:before="0" w:after="0" w:line="240" w:lineRule="auto"/>
        <w:ind w:firstLine="720"/>
        <w:jc w:val="both"/>
        <w:rPr>
          <w:rStyle w:val="Bodytext81"/>
          <w:b/>
          <w:bCs/>
          <w:color w:val="auto"/>
        </w:rPr>
      </w:pPr>
      <w:r w:rsidRPr="00FC2582">
        <w:rPr>
          <w:rStyle w:val="Bodytext81"/>
          <w:b/>
          <w:bCs/>
          <w:color w:val="auto"/>
        </w:rPr>
        <w:t xml:space="preserve">Modulul de </w:t>
      </w:r>
      <w:r w:rsidRPr="00FC2582">
        <w:rPr>
          <w:rStyle w:val="Bodytext81"/>
          <w:b/>
          <w:bCs/>
          <w:i/>
          <w:color w:val="auto"/>
        </w:rPr>
        <w:t>Drept european</w:t>
      </w:r>
      <w:r w:rsidRPr="00FC2582">
        <w:rPr>
          <w:rStyle w:val="Bodytext81"/>
          <w:b/>
          <w:bCs/>
          <w:color w:val="auto"/>
        </w:rPr>
        <w:t xml:space="preserve"> este alcătuit din 3 discipline: Dreptul Uniunii Europene, Dreptul European al Drepturilor Omului și Drept European al Muncii. </w:t>
      </w:r>
    </w:p>
    <w:p w:rsidR="00BB5F17" w:rsidRPr="00FC2582" w:rsidRDefault="00BB5F17" w:rsidP="003A1DE8">
      <w:pPr>
        <w:pStyle w:val="Bodytext80"/>
        <w:shd w:val="clear" w:color="auto" w:fill="auto"/>
        <w:spacing w:before="0" w:after="0" w:line="240" w:lineRule="auto"/>
        <w:ind w:firstLine="720"/>
        <w:jc w:val="both"/>
        <w:rPr>
          <w:rStyle w:val="Bodytext81"/>
          <w:b/>
          <w:bCs/>
          <w:color w:val="auto"/>
        </w:rPr>
      </w:pPr>
      <w:r w:rsidRPr="00FC2582">
        <w:rPr>
          <w:rStyle w:val="Bodytext81"/>
          <w:b/>
          <w:bCs/>
          <w:color w:val="auto"/>
        </w:rPr>
        <w:t xml:space="preserve">Avocații stagiari – cursanți ai INPPA – își vor exprima opțiunea pentru 2 din cele 3 discipline, ale căror activități le vor urma și la care vor susține examen, în forma și modalitatea prevăzută prin Regulamentul de examen. </w:t>
      </w:r>
    </w:p>
    <w:p w:rsidR="007A1BC0" w:rsidRPr="00FC2582" w:rsidRDefault="00CA67BE" w:rsidP="003A1DE8">
      <w:pPr>
        <w:pStyle w:val="Bodytext80"/>
        <w:shd w:val="clear" w:color="auto" w:fill="auto"/>
        <w:spacing w:before="0" w:after="0" w:line="240" w:lineRule="auto"/>
        <w:ind w:firstLine="720"/>
        <w:jc w:val="both"/>
        <w:rPr>
          <w:color w:val="auto"/>
        </w:rPr>
      </w:pPr>
      <w:r w:rsidRPr="00FC2582">
        <w:rPr>
          <w:rStyle w:val="Bodytext81"/>
          <w:b/>
          <w:bCs/>
          <w:color w:val="auto"/>
        </w:rPr>
        <w:t>Modalităţile în care vor discutate temele: prezentarea unor cazuri practice, care vor dezvolta probleme ridicate de diferitele puncte din tematică. Cazurile prezentate nu pot epuiza tematica, dar vor constitui modele de rezolvare a lucrărilor profesionale de către cursanţi.</w:t>
      </w:r>
    </w:p>
    <w:p w:rsidR="007A1BC0" w:rsidRPr="00FC2582" w:rsidRDefault="00CA67BE" w:rsidP="003A1DE8">
      <w:pPr>
        <w:pStyle w:val="Bodytext80"/>
        <w:shd w:val="clear" w:color="auto" w:fill="auto"/>
        <w:spacing w:before="0" w:after="0" w:line="240" w:lineRule="auto"/>
        <w:ind w:firstLine="720"/>
        <w:jc w:val="both"/>
        <w:rPr>
          <w:color w:val="auto"/>
        </w:rPr>
      </w:pPr>
      <w:r w:rsidRPr="00FC2582">
        <w:rPr>
          <w:rStyle w:val="Bodytext81"/>
          <w:b/>
          <w:bCs/>
          <w:color w:val="auto"/>
        </w:rPr>
        <w:t>Lucrările profesionale vor fi cele care vor asigura parcurgea problemelor din tematică</w:t>
      </w:r>
      <w:r w:rsidR="00276FEF" w:rsidRPr="00FC2582">
        <w:rPr>
          <w:rStyle w:val="Bodytext81"/>
          <w:b/>
          <w:bCs/>
          <w:color w:val="auto"/>
        </w:rPr>
        <w:t xml:space="preserve"> și </w:t>
      </w:r>
      <w:r w:rsidRPr="00FC2582">
        <w:rPr>
          <w:rStyle w:val="Bodytext81"/>
          <w:b/>
          <w:bCs/>
          <w:color w:val="auto"/>
        </w:rPr>
        <w:t xml:space="preserve"> vor urmări redactarea unor acte specifice activităţii de avocat, redactarea unor cereri specifice problemelor din tematică, opinii juridice, analizarea unor cazuri practice</w:t>
      </w:r>
      <w:r w:rsidRPr="00FC2582">
        <w:rPr>
          <w:color w:val="auto"/>
        </w:rPr>
        <w:t>.</w:t>
      </w:r>
    </w:p>
    <w:p w:rsidR="007A1BC0" w:rsidRPr="00FC2582" w:rsidRDefault="00276FEF" w:rsidP="003A1DE8">
      <w:pPr>
        <w:pStyle w:val="Heading20"/>
        <w:shd w:val="clear" w:color="auto" w:fill="auto"/>
        <w:spacing w:before="0" w:after="0" w:line="240" w:lineRule="auto"/>
        <w:ind w:firstLine="720"/>
        <w:jc w:val="both"/>
        <w:rPr>
          <w:color w:val="auto"/>
        </w:rPr>
      </w:pPr>
      <w:bookmarkStart w:id="5" w:name="bookmark41"/>
      <w:r w:rsidRPr="00FC2582">
        <w:rPr>
          <w:color w:val="auto"/>
        </w:rPr>
        <w:t xml:space="preserve">Fiecare disciplină din modul va avea alocate câte 8 ore, cu un total de 16 ore ce urmează a fi efectuate de fiecare avocat stagiar. </w:t>
      </w:r>
      <w:bookmarkEnd w:id="5"/>
    </w:p>
    <w:p w:rsidR="003250DF" w:rsidRPr="00FC2582" w:rsidRDefault="003250DF" w:rsidP="003A1DE8">
      <w:pPr>
        <w:pStyle w:val="Bodytext70"/>
        <w:shd w:val="clear" w:color="auto" w:fill="auto"/>
        <w:spacing w:after="0" w:line="240" w:lineRule="auto"/>
        <w:ind w:firstLine="720"/>
        <w:jc w:val="both"/>
        <w:rPr>
          <w:color w:val="auto"/>
        </w:rPr>
      </w:pPr>
    </w:p>
    <w:p w:rsidR="007A1BC0" w:rsidRPr="00FC2582" w:rsidRDefault="00CA67BE" w:rsidP="003A1DE8">
      <w:pPr>
        <w:pStyle w:val="Bodytext70"/>
        <w:shd w:val="clear" w:color="auto" w:fill="auto"/>
        <w:spacing w:after="0" w:line="240" w:lineRule="auto"/>
        <w:ind w:firstLine="720"/>
        <w:jc w:val="both"/>
        <w:rPr>
          <w:color w:val="auto"/>
        </w:rPr>
      </w:pPr>
      <w:r w:rsidRPr="00FC2582">
        <w:rPr>
          <w:color w:val="auto"/>
        </w:rPr>
        <w:t>Teme de pregătire:</w:t>
      </w:r>
    </w:p>
    <w:p w:rsidR="00D67FF7" w:rsidRPr="00FC2582" w:rsidRDefault="00D67FF7" w:rsidP="00D67FF7">
      <w:pPr>
        <w:jc w:val="center"/>
        <w:rPr>
          <w:color w:val="auto"/>
          <w:sz w:val="26"/>
          <w:szCs w:val="26"/>
        </w:rPr>
      </w:pPr>
    </w:p>
    <w:p w:rsidR="00D67FF7" w:rsidRPr="00FC2582" w:rsidRDefault="00D67FF7" w:rsidP="0056390B">
      <w:pPr>
        <w:pStyle w:val="Heading4"/>
        <w:rPr>
          <w:rFonts w:asciiTheme="minorHAnsi" w:hAnsiTheme="minorHAnsi" w:cstheme="minorHAnsi"/>
          <w:bCs/>
          <w:i/>
          <w:sz w:val="26"/>
          <w:szCs w:val="26"/>
        </w:rPr>
      </w:pPr>
      <w:r w:rsidRPr="00FC2582">
        <w:rPr>
          <w:rFonts w:asciiTheme="minorHAnsi" w:hAnsiTheme="minorHAnsi" w:cstheme="minorHAnsi"/>
          <w:bCs/>
          <w:i/>
          <w:sz w:val="26"/>
          <w:szCs w:val="26"/>
        </w:rPr>
        <w:t>Dreptul Uniunii Europene</w:t>
      </w: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1. Identificarea, de către avocaţi, a tratatelor şi actelor juridice ale UE, ca izvoare ale dreptului UE, pentru folosirea în pregătirea dosarelor - practică:</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EUR-</w:t>
      </w:r>
      <w:proofErr w:type="spellStart"/>
      <w:r w:rsidRPr="00FC2582">
        <w:rPr>
          <w:rFonts w:asciiTheme="minorHAnsi" w:hAnsiTheme="minorHAnsi" w:cstheme="minorHAnsi"/>
          <w:b/>
          <w:color w:val="auto"/>
          <w:sz w:val="26"/>
          <w:szCs w:val="26"/>
        </w:rPr>
        <w:t>Lex</w:t>
      </w:r>
      <w:proofErr w:type="spellEnd"/>
      <w:r w:rsidRPr="00FC2582">
        <w:rPr>
          <w:rFonts w:asciiTheme="minorHAnsi" w:hAnsiTheme="minorHAnsi" w:cstheme="minorHAnsi"/>
          <w:color w:val="auto"/>
          <w:sz w:val="26"/>
          <w:szCs w:val="26"/>
        </w:rPr>
        <w:t>: versiunea autentică a Jurnalului Oficial al Uniunii Europene; dreptul Uniunii Europene (tratate, directive, regulamente, decizii, legislație consolidată etc.); actele pregătitoare (propuneri legislative, rapoarte, cărți verzi și cărți albe etc.); jurisprudența UE (hotărâri, avize, concluzii ale avocaților generali etc.); acordurile internaționale la care Uniunea Europeană este parte; documentele AELS având incidență în Spațiul Economic European; sintezele legislației UE, care pun actele juridice în context și le explică într-un limbaj simplu alte documente publice;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nr. CELEX</w:t>
      </w:r>
      <w:r w:rsidRPr="00FC2582">
        <w:rPr>
          <w:rFonts w:asciiTheme="minorHAnsi" w:hAnsiTheme="minorHAnsi" w:cstheme="minorHAnsi"/>
          <w:color w:val="auto"/>
          <w:sz w:val="26"/>
          <w:szCs w:val="26"/>
        </w:rPr>
        <w:t xml:space="preserve"> - identificatorul unic al fiecărui document din EUR-</w:t>
      </w:r>
      <w:proofErr w:type="spellStart"/>
      <w:r w:rsidRPr="00FC2582">
        <w:rPr>
          <w:rFonts w:asciiTheme="minorHAnsi" w:hAnsiTheme="minorHAnsi" w:cstheme="minorHAnsi"/>
          <w:color w:val="auto"/>
          <w:sz w:val="26"/>
          <w:szCs w:val="26"/>
        </w:rPr>
        <w:t>Lex</w:t>
      </w:r>
      <w:proofErr w:type="spellEnd"/>
      <w:r w:rsidRPr="00FC2582">
        <w:rPr>
          <w:rFonts w:asciiTheme="minorHAnsi" w:hAnsiTheme="minorHAnsi" w:cstheme="minorHAnsi"/>
          <w:color w:val="auto"/>
          <w:sz w:val="26"/>
          <w:szCs w:val="26"/>
        </w:rPr>
        <w:t>, indiferent de limbă;</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ECLI</w:t>
      </w:r>
      <w:r w:rsidRPr="00FC2582">
        <w:rPr>
          <w:rFonts w:asciiTheme="minorHAnsi" w:hAnsiTheme="minorHAnsi" w:cstheme="minorHAnsi"/>
          <w:color w:val="auto"/>
          <w:sz w:val="26"/>
          <w:szCs w:val="26"/>
        </w:rPr>
        <w:t xml:space="preserve"> - identificatorul european de jurisprudență;</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b/>
          <w:color w:val="auto"/>
          <w:sz w:val="26"/>
          <w:szCs w:val="26"/>
        </w:rPr>
        <w:t xml:space="preserve">- ELI - </w:t>
      </w:r>
      <w:r w:rsidRPr="00FC2582">
        <w:rPr>
          <w:rFonts w:asciiTheme="minorHAnsi" w:hAnsiTheme="minorHAnsi" w:cstheme="minorHAnsi"/>
          <w:color w:val="auto"/>
          <w:sz w:val="26"/>
          <w:szCs w:val="26"/>
        </w:rPr>
        <w:t>identificatorul european de legislație;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Numerotarea actelor</w:t>
      </w:r>
      <w:r w:rsidRPr="00FC2582">
        <w:rPr>
          <w:rFonts w:asciiTheme="minorHAnsi" w:hAnsiTheme="minorHAnsi" w:cstheme="minorHAnsi"/>
          <w:color w:val="auto"/>
          <w:sz w:val="26"/>
          <w:szCs w:val="26"/>
        </w:rPr>
        <w:t xml:space="preserve"> juridice ale Uniunii Europene.</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bCs/>
          <w:color w:val="auto"/>
          <w:sz w:val="26"/>
          <w:szCs w:val="26"/>
        </w:rPr>
        <w:t>2. Aplicarea normelor juridice ale UE în ordinea juridică internă a statelor membre. Rolul avocatului român în aplicarea legislaţiei UE: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identificarea actelor juridice ale UE cu aplicabilitate directă şi imediată – aspecte practice din jurisprudența Curții de Justiție a Uniunii Europene; studiu de caz;</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interpretarea actelor juridice ale UE cu aplicabilitate directă şi imediată – analiza principalelor hotărâri ale CJUE în materie;  </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exerciții practice privind hotărârea Curții de Justiție a UE (structură; </w:t>
      </w:r>
      <w:r w:rsidRPr="00FC2582">
        <w:rPr>
          <w:rFonts w:asciiTheme="minorHAnsi" w:hAnsiTheme="minorHAnsi" w:cstheme="minorHAnsi"/>
          <w:color w:val="auto"/>
          <w:sz w:val="26"/>
          <w:szCs w:val="26"/>
        </w:rPr>
        <w:lastRenderedPageBreak/>
        <w:t>interpretare; aplicare etc.)</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jurisprudenţă relevantă: </w:t>
      </w:r>
      <w:r w:rsidRPr="00FC2582">
        <w:rPr>
          <w:rFonts w:asciiTheme="minorHAnsi" w:hAnsiTheme="minorHAnsi" w:cstheme="minorHAnsi"/>
          <w:i/>
          <w:color w:val="auto"/>
          <w:sz w:val="26"/>
          <w:szCs w:val="26"/>
        </w:rPr>
        <w:t>Costa/ENEL</w:t>
      </w:r>
      <w:r w:rsidRPr="00FC2582">
        <w:rPr>
          <w:rFonts w:asciiTheme="minorHAnsi" w:hAnsiTheme="minorHAnsi" w:cstheme="minorHAnsi"/>
          <w:color w:val="auto"/>
          <w:sz w:val="26"/>
          <w:szCs w:val="26"/>
        </w:rPr>
        <w:t xml:space="preserve">, 6/64; </w:t>
      </w:r>
      <w:r w:rsidRPr="00FC2582">
        <w:rPr>
          <w:rFonts w:asciiTheme="minorHAnsi" w:hAnsiTheme="minorHAnsi" w:cstheme="minorHAnsi"/>
          <w:i/>
          <w:color w:val="auto"/>
          <w:sz w:val="26"/>
          <w:szCs w:val="26"/>
        </w:rPr>
        <w:t>San Michele</w:t>
      </w:r>
      <w:r w:rsidRPr="00FC2582">
        <w:rPr>
          <w:rFonts w:asciiTheme="minorHAnsi" w:hAnsiTheme="minorHAnsi" w:cstheme="minorHAnsi"/>
          <w:color w:val="auto"/>
          <w:sz w:val="26"/>
          <w:szCs w:val="26"/>
        </w:rPr>
        <w:t xml:space="preserve">, 9/65; </w:t>
      </w:r>
      <w:proofErr w:type="spellStart"/>
      <w:r w:rsidRPr="00FC2582">
        <w:rPr>
          <w:rFonts w:asciiTheme="minorHAnsi" w:hAnsiTheme="minorHAnsi" w:cstheme="minorHAnsi"/>
          <w:i/>
          <w:color w:val="auto"/>
          <w:sz w:val="26"/>
          <w:szCs w:val="26"/>
        </w:rPr>
        <w:t>Kreil</w:t>
      </w:r>
      <w:proofErr w:type="spellEnd"/>
      <w:r w:rsidRPr="00FC2582">
        <w:rPr>
          <w:rFonts w:asciiTheme="minorHAnsi" w:hAnsiTheme="minorHAnsi" w:cstheme="minorHAnsi"/>
          <w:color w:val="auto"/>
          <w:sz w:val="26"/>
          <w:szCs w:val="26"/>
        </w:rPr>
        <w:t xml:space="preserve">, C-285/98; </w:t>
      </w:r>
      <w:r w:rsidRPr="00FC2582">
        <w:rPr>
          <w:rFonts w:asciiTheme="minorHAnsi" w:hAnsiTheme="minorHAnsi" w:cstheme="minorHAnsi"/>
          <w:i/>
          <w:color w:val="auto"/>
          <w:sz w:val="26"/>
          <w:szCs w:val="26"/>
        </w:rPr>
        <w:t xml:space="preserve">Van </w:t>
      </w:r>
      <w:proofErr w:type="spellStart"/>
      <w:r w:rsidRPr="00FC2582">
        <w:rPr>
          <w:rFonts w:asciiTheme="minorHAnsi" w:hAnsiTheme="minorHAnsi" w:cstheme="minorHAnsi"/>
          <w:i/>
          <w:color w:val="auto"/>
          <w:sz w:val="26"/>
          <w:szCs w:val="26"/>
        </w:rPr>
        <w:t>Gend</w:t>
      </w:r>
      <w:proofErr w:type="spellEnd"/>
      <w:r w:rsidRPr="00FC2582">
        <w:rPr>
          <w:rFonts w:asciiTheme="minorHAnsi" w:hAnsiTheme="minorHAnsi" w:cstheme="minorHAnsi"/>
          <w:i/>
          <w:color w:val="auto"/>
          <w:sz w:val="26"/>
          <w:szCs w:val="26"/>
        </w:rPr>
        <w:t xml:space="preserve"> en </w:t>
      </w:r>
      <w:proofErr w:type="spellStart"/>
      <w:r w:rsidRPr="00FC2582">
        <w:rPr>
          <w:rFonts w:asciiTheme="minorHAnsi" w:hAnsiTheme="minorHAnsi" w:cstheme="minorHAnsi"/>
          <w:i/>
          <w:color w:val="auto"/>
          <w:sz w:val="26"/>
          <w:szCs w:val="26"/>
        </w:rPr>
        <w:t>Loos</w:t>
      </w:r>
      <w:proofErr w:type="spellEnd"/>
      <w:r w:rsidRPr="00FC2582">
        <w:rPr>
          <w:rFonts w:asciiTheme="minorHAnsi" w:hAnsiTheme="minorHAnsi" w:cstheme="minorHAnsi"/>
          <w:color w:val="auto"/>
          <w:sz w:val="26"/>
          <w:szCs w:val="26"/>
        </w:rPr>
        <w:t xml:space="preserve">, 26/62; </w:t>
      </w:r>
      <w:r w:rsidRPr="00FC2582">
        <w:rPr>
          <w:rFonts w:asciiTheme="minorHAnsi" w:hAnsiTheme="minorHAnsi" w:cstheme="minorHAnsi"/>
          <w:i/>
          <w:color w:val="auto"/>
          <w:sz w:val="26"/>
          <w:szCs w:val="26"/>
        </w:rPr>
        <w:t>Marshall</w:t>
      </w:r>
      <w:r w:rsidRPr="00FC2582">
        <w:rPr>
          <w:rFonts w:asciiTheme="minorHAnsi" w:hAnsiTheme="minorHAnsi" w:cstheme="minorHAnsi"/>
          <w:color w:val="auto"/>
          <w:sz w:val="26"/>
          <w:szCs w:val="26"/>
        </w:rPr>
        <w:t xml:space="preserve">, 152/84; </w:t>
      </w:r>
      <w:proofErr w:type="spellStart"/>
      <w:r w:rsidRPr="00FC2582">
        <w:rPr>
          <w:rFonts w:asciiTheme="minorHAnsi" w:hAnsiTheme="minorHAnsi" w:cstheme="minorHAnsi"/>
          <w:i/>
          <w:color w:val="auto"/>
          <w:sz w:val="26"/>
          <w:szCs w:val="26"/>
        </w:rPr>
        <w:t>Marleasing</w:t>
      </w:r>
      <w:proofErr w:type="spellEnd"/>
      <w:r w:rsidRPr="00FC2582">
        <w:rPr>
          <w:rFonts w:asciiTheme="minorHAnsi" w:hAnsiTheme="minorHAnsi" w:cstheme="minorHAnsi"/>
          <w:color w:val="auto"/>
          <w:sz w:val="26"/>
          <w:szCs w:val="26"/>
        </w:rPr>
        <w:t xml:space="preserve">, C-106/89; </w:t>
      </w:r>
      <w:r w:rsidRPr="00FC2582">
        <w:rPr>
          <w:rFonts w:asciiTheme="minorHAnsi" w:hAnsiTheme="minorHAnsi" w:cstheme="minorHAnsi"/>
          <w:i/>
          <w:color w:val="auto"/>
          <w:sz w:val="26"/>
          <w:szCs w:val="26"/>
        </w:rPr>
        <w:t>Simmenthal</w:t>
      </w:r>
      <w:r w:rsidRPr="00FC2582">
        <w:rPr>
          <w:rFonts w:asciiTheme="minorHAnsi" w:hAnsiTheme="minorHAnsi" w:cstheme="minorHAnsi"/>
          <w:color w:val="auto"/>
          <w:sz w:val="26"/>
          <w:szCs w:val="26"/>
        </w:rPr>
        <w:t xml:space="preserve">, 106/77; </w:t>
      </w:r>
      <w:proofErr w:type="spellStart"/>
      <w:r w:rsidRPr="00FC2582">
        <w:rPr>
          <w:rFonts w:asciiTheme="minorHAnsi" w:hAnsiTheme="minorHAnsi" w:cstheme="minorHAnsi"/>
          <w:i/>
          <w:color w:val="auto"/>
          <w:sz w:val="26"/>
          <w:szCs w:val="26"/>
        </w:rPr>
        <w:t>Factortame</w:t>
      </w:r>
      <w:proofErr w:type="spellEnd"/>
      <w:r w:rsidRPr="00FC2582">
        <w:rPr>
          <w:rFonts w:asciiTheme="minorHAnsi" w:hAnsiTheme="minorHAnsi" w:cstheme="minorHAnsi"/>
          <w:color w:val="auto"/>
          <w:sz w:val="26"/>
          <w:szCs w:val="26"/>
        </w:rPr>
        <w:t xml:space="preserve">, 213/89; </w:t>
      </w:r>
      <w:proofErr w:type="spellStart"/>
      <w:r w:rsidRPr="00FC2582">
        <w:rPr>
          <w:rFonts w:asciiTheme="minorHAnsi" w:hAnsiTheme="minorHAnsi" w:cstheme="minorHAnsi"/>
          <w:i/>
          <w:color w:val="auto"/>
          <w:sz w:val="26"/>
          <w:szCs w:val="26"/>
        </w:rPr>
        <w:t>Francovich</w:t>
      </w:r>
      <w:proofErr w:type="spellEnd"/>
      <w:r w:rsidRPr="00FC2582">
        <w:rPr>
          <w:rFonts w:asciiTheme="minorHAnsi" w:hAnsiTheme="minorHAnsi" w:cstheme="minorHAnsi"/>
          <w:i/>
          <w:color w:val="auto"/>
          <w:sz w:val="26"/>
          <w:szCs w:val="26"/>
        </w:rPr>
        <w:t xml:space="preserve"> şi </w:t>
      </w:r>
      <w:proofErr w:type="spellStart"/>
      <w:r w:rsidRPr="00FC2582">
        <w:rPr>
          <w:rFonts w:asciiTheme="minorHAnsi" w:hAnsiTheme="minorHAnsi" w:cstheme="minorHAnsi"/>
          <w:i/>
          <w:color w:val="auto"/>
          <w:sz w:val="26"/>
          <w:szCs w:val="26"/>
        </w:rPr>
        <w:t>Bonifaci</w:t>
      </w:r>
      <w:proofErr w:type="spellEnd"/>
      <w:r w:rsidRPr="00FC2582">
        <w:rPr>
          <w:rFonts w:asciiTheme="minorHAnsi" w:hAnsiTheme="minorHAnsi" w:cstheme="minorHAnsi"/>
          <w:color w:val="auto"/>
          <w:sz w:val="26"/>
          <w:szCs w:val="26"/>
        </w:rPr>
        <w:t xml:space="preserve">, C-6/90 şi C-9/90; </w:t>
      </w:r>
      <w:proofErr w:type="spellStart"/>
      <w:r w:rsidRPr="00FC2582">
        <w:rPr>
          <w:rFonts w:asciiTheme="minorHAnsi" w:hAnsiTheme="minorHAnsi" w:cstheme="minorHAnsi"/>
          <w:i/>
          <w:color w:val="auto"/>
          <w:sz w:val="26"/>
          <w:szCs w:val="26"/>
        </w:rPr>
        <w:t>Brasserie</w:t>
      </w:r>
      <w:proofErr w:type="spellEnd"/>
      <w:r w:rsidRPr="00FC2582">
        <w:rPr>
          <w:rFonts w:asciiTheme="minorHAnsi" w:hAnsiTheme="minorHAnsi" w:cstheme="minorHAnsi"/>
          <w:i/>
          <w:color w:val="auto"/>
          <w:sz w:val="26"/>
          <w:szCs w:val="26"/>
        </w:rPr>
        <w:t xml:space="preserve"> du </w:t>
      </w:r>
      <w:proofErr w:type="spellStart"/>
      <w:r w:rsidRPr="00FC2582">
        <w:rPr>
          <w:rFonts w:asciiTheme="minorHAnsi" w:hAnsiTheme="minorHAnsi" w:cstheme="minorHAnsi"/>
          <w:i/>
          <w:color w:val="auto"/>
          <w:sz w:val="26"/>
          <w:szCs w:val="26"/>
        </w:rPr>
        <w:t>Pêcheur</w:t>
      </w:r>
      <w:proofErr w:type="spellEnd"/>
      <w:r w:rsidRPr="00FC2582">
        <w:rPr>
          <w:rFonts w:asciiTheme="minorHAnsi" w:hAnsiTheme="minorHAnsi" w:cstheme="minorHAnsi"/>
          <w:color w:val="auto"/>
          <w:sz w:val="26"/>
          <w:szCs w:val="26"/>
        </w:rPr>
        <w:t xml:space="preserve">, C-46/93; </w:t>
      </w:r>
      <w:proofErr w:type="spellStart"/>
      <w:r w:rsidRPr="00FC2582">
        <w:rPr>
          <w:rFonts w:asciiTheme="minorHAnsi" w:hAnsiTheme="minorHAnsi" w:cstheme="minorHAnsi"/>
          <w:i/>
          <w:color w:val="auto"/>
          <w:sz w:val="26"/>
          <w:szCs w:val="26"/>
        </w:rPr>
        <w:t>Factortame</w:t>
      </w:r>
      <w:proofErr w:type="spellEnd"/>
      <w:r w:rsidRPr="00FC2582">
        <w:rPr>
          <w:rFonts w:asciiTheme="minorHAnsi" w:hAnsiTheme="minorHAnsi" w:cstheme="minorHAnsi"/>
          <w:i/>
          <w:color w:val="auto"/>
          <w:sz w:val="26"/>
          <w:szCs w:val="26"/>
        </w:rPr>
        <w:t xml:space="preserve"> III</w:t>
      </w:r>
      <w:r w:rsidRPr="00FC2582">
        <w:rPr>
          <w:rFonts w:asciiTheme="minorHAnsi" w:hAnsiTheme="minorHAnsi" w:cstheme="minorHAnsi"/>
          <w:color w:val="auto"/>
          <w:sz w:val="26"/>
          <w:szCs w:val="26"/>
        </w:rPr>
        <w:t>, C-48/93.</w:t>
      </w: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3. Formularea acțiunii în anulare: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actele care pot face obiectul acțiunii în anulare;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subiectele de drept care pot formula o acțiune în anulare;</w:t>
      </w:r>
    </w:p>
    <w:p w:rsidR="00D67FF7" w:rsidRPr="00FC2582" w:rsidRDefault="00D67FF7" w:rsidP="00D67FF7">
      <w:pPr>
        <w:autoSpaceDE w:val="0"/>
        <w:autoSpaceDN w:val="0"/>
        <w:adjustRightInd w:val="0"/>
        <w:ind w:left="851" w:hanging="142"/>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posibilitatea persoanelor fizice de a introduce o acțiune în anulare în fața Curții de Justiție de la Luxemburg;</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subiectele de drept împotriva cărora poate fi formulată acțiunea în anulare;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termenul în care se poate formula acțiunea;</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motivele de anulare;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efectele hotărârii dată în acțiunea în anulare.</w:t>
      </w: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4. Excepția de ilegalitate – jurisprudență:</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actele care pot face obiectul excepției de ilegalitate;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subiectele de drept care pot formula excepția de ilegalitate;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efectele admiterii excepției de ilegalitate.</w:t>
      </w: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5. Acțiunea în carență – jurisprudență:</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situațiile care pot/nu pot conduce la formularea unei acțiuni în carență;</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subiectele de drept care pot formula o acțiune în carență;</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subiectele de drept împotriva cărora se poate formula o acțiune în carență;</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procedura acțiunii în carență.</w:t>
      </w: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r w:rsidRPr="00FC2582">
        <w:rPr>
          <w:rFonts w:asciiTheme="minorHAnsi" w:hAnsiTheme="minorHAnsi" w:cstheme="minorHAnsi"/>
          <w:b/>
          <w:color w:val="auto"/>
          <w:sz w:val="26"/>
          <w:szCs w:val="26"/>
        </w:rPr>
        <w:t>6. Acțiunea în interpretare – studiu de caz: România:</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competența Curții de a se pronunța cu titlu preliminar;</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actele care pot face obiectul unei acțiuni preliminare;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subiectele de drept care pot formula o acțiune preliminară;</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noțiunea de instanță, în sensul art. 267 TFUE;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dreptul și obligația instanțelor naționale de a formula întrebări preliminare;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excepțiile de la obligația instanțelor de a formula întrebări preliminare;</w:t>
      </w:r>
    </w:p>
    <w:p w:rsidR="00D67FF7" w:rsidRPr="00FC2582" w:rsidRDefault="00D67FF7" w:rsidP="00D67FF7">
      <w:pPr>
        <w:autoSpaceDE w:val="0"/>
        <w:autoSpaceDN w:val="0"/>
        <w:adjustRightInd w:val="0"/>
        <w:ind w:firstLine="709"/>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hotărârea Curții de la Luxemburg;</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întrebări preliminare adresate de către instanţele din România: </w:t>
      </w:r>
      <w:r w:rsidRPr="00FC2582">
        <w:rPr>
          <w:rFonts w:asciiTheme="minorHAnsi" w:hAnsiTheme="minorHAnsi" w:cstheme="minorHAnsi"/>
          <w:i/>
          <w:color w:val="auto"/>
          <w:sz w:val="26"/>
          <w:szCs w:val="26"/>
        </w:rPr>
        <w:t>Jipa</w:t>
      </w:r>
      <w:r w:rsidRPr="00FC2582">
        <w:rPr>
          <w:rFonts w:asciiTheme="minorHAnsi" w:hAnsiTheme="minorHAnsi" w:cstheme="minorHAnsi"/>
          <w:color w:val="auto"/>
          <w:sz w:val="26"/>
          <w:szCs w:val="26"/>
        </w:rPr>
        <w:t xml:space="preserve">, C-33/07; </w:t>
      </w:r>
      <w:r w:rsidRPr="00FC2582">
        <w:rPr>
          <w:rFonts w:asciiTheme="minorHAnsi" w:hAnsiTheme="minorHAnsi" w:cstheme="minorHAnsi"/>
          <w:i/>
          <w:color w:val="auto"/>
          <w:sz w:val="26"/>
          <w:szCs w:val="26"/>
        </w:rPr>
        <w:t>Tatu</w:t>
      </w:r>
      <w:r w:rsidRPr="00FC2582">
        <w:rPr>
          <w:rFonts w:asciiTheme="minorHAnsi" w:hAnsiTheme="minorHAnsi" w:cstheme="minorHAnsi"/>
          <w:color w:val="auto"/>
          <w:sz w:val="26"/>
          <w:szCs w:val="26"/>
        </w:rPr>
        <w:t xml:space="preserve">, C-402/09; </w:t>
      </w:r>
      <w:r w:rsidRPr="00FC2582">
        <w:rPr>
          <w:rFonts w:asciiTheme="minorHAnsi" w:hAnsiTheme="minorHAnsi" w:cstheme="minorHAnsi"/>
          <w:i/>
          <w:color w:val="auto"/>
          <w:sz w:val="26"/>
          <w:szCs w:val="26"/>
        </w:rPr>
        <w:t xml:space="preserve">Bejan, </w:t>
      </w:r>
      <w:r w:rsidRPr="00FC2582">
        <w:rPr>
          <w:rFonts w:asciiTheme="minorHAnsi" w:hAnsiTheme="minorHAnsi" w:cstheme="minorHAnsi"/>
          <w:color w:val="auto"/>
          <w:sz w:val="26"/>
          <w:szCs w:val="26"/>
        </w:rPr>
        <w:t xml:space="preserve">C-102/10; </w:t>
      </w:r>
      <w:r w:rsidRPr="00FC2582">
        <w:rPr>
          <w:rFonts w:asciiTheme="minorHAnsi" w:hAnsiTheme="minorHAnsi" w:cstheme="minorHAnsi"/>
          <w:i/>
          <w:color w:val="auto"/>
          <w:sz w:val="26"/>
          <w:szCs w:val="26"/>
        </w:rPr>
        <w:t>Obreja</w:t>
      </w:r>
      <w:r w:rsidRPr="00FC2582">
        <w:rPr>
          <w:rFonts w:asciiTheme="minorHAnsi" w:hAnsiTheme="minorHAnsi" w:cstheme="minorHAnsi"/>
          <w:color w:val="auto"/>
          <w:sz w:val="26"/>
          <w:szCs w:val="26"/>
        </w:rPr>
        <w:t xml:space="preserve">, C-136/10; </w:t>
      </w:r>
      <w:r w:rsidRPr="00FC2582">
        <w:rPr>
          <w:rFonts w:asciiTheme="minorHAnsi" w:hAnsiTheme="minorHAnsi" w:cstheme="minorHAnsi"/>
          <w:i/>
          <w:color w:val="auto"/>
          <w:sz w:val="26"/>
          <w:szCs w:val="26"/>
        </w:rPr>
        <w:t>Nisipeanu</w:t>
      </w:r>
      <w:r w:rsidRPr="00FC2582">
        <w:rPr>
          <w:rFonts w:asciiTheme="minorHAnsi" w:hAnsiTheme="minorHAnsi" w:cstheme="minorHAnsi"/>
          <w:color w:val="auto"/>
          <w:sz w:val="26"/>
          <w:szCs w:val="26"/>
        </w:rPr>
        <w:t xml:space="preserve">, C-263/10; </w:t>
      </w:r>
      <w:r w:rsidRPr="00FC2582">
        <w:rPr>
          <w:rFonts w:asciiTheme="minorHAnsi" w:hAnsiTheme="minorHAnsi" w:cstheme="minorHAnsi"/>
          <w:i/>
          <w:color w:val="auto"/>
          <w:sz w:val="26"/>
          <w:szCs w:val="26"/>
        </w:rPr>
        <w:t xml:space="preserve">Circul Globus </w:t>
      </w:r>
      <w:proofErr w:type="spellStart"/>
      <w:r w:rsidRPr="00FC2582">
        <w:rPr>
          <w:rFonts w:asciiTheme="minorHAnsi" w:hAnsiTheme="minorHAnsi" w:cstheme="minorHAnsi"/>
          <w:i/>
          <w:color w:val="auto"/>
          <w:sz w:val="26"/>
          <w:szCs w:val="26"/>
        </w:rPr>
        <w:t>Bucureşti</w:t>
      </w:r>
      <w:proofErr w:type="spellEnd"/>
      <w:r w:rsidRPr="00FC2582">
        <w:rPr>
          <w:rFonts w:asciiTheme="minorHAnsi" w:hAnsiTheme="minorHAnsi" w:cstheme="minorHAnsi"/>
          <w:color w:val="auto"/>
          <w:sz w:val="26"/>
          <w:szCs w:val="26"/>
        </w:rPr>
        <w:t>,</w:t>
      </w:r>
      <w:r w:rsidRPr="00FC2582">
        <w:rPr>
          <w:rFonts w:asciiTheme="minorHAnsi" w:hAnsiTheme="minorHAnsi" w:cstheme="minorHAnsi"/>
          <w:i/>
          <w:color w:val="auto"/>
          <w:sz w:val="26"/>
          <w:szCs w:val="26"/>
        </w:rPr>
        <w:t xml:space="preserve"> </w:t>
      </w:r>
      <w:r w:rsidRPr="00FC2582">
        <w:rPr>
          <w:rFonts w:asciiTheme="minorHAnsi" w:hAnsiTheme="minorHAnsi" w:cstheme="minorHAnsi"/>
          <w:color w:val="auto"/>
          <w:sz w:val="26"/>
          <w:szCs w:val="26"/>
        </w:rPr>
        <w:t xml:space="preserve">C-283/10; </w:t>
      </w:r>
      <w:proofErr w:type="spellStart"/>
      <w:r w:rsidRPr="00FC2582">
        <w:rPr>
          <w:rFonts w:asciiTheme="minorHAnsi" w:hAnsiTheme="minorHAnsi" w:cstheme="minorHAnsi"/>
          <w:i/>
          <w:color w:val="auto"/>
          <w:sz w:val="26"/>
          <w:szCs w:val="26"/>
        </w:rPr>
        <w:t>Agafiţei</w:t>
      </w:r>
      <w:proofErr w:type="spellEnd"/>
      <w:r w:rsidRPr="00FC2582">
        <w:rPr>
          <w:rFonts w:asciiTheme="minorHAnsi" w:hAnsiTheme="minorHAnsi" w:cstheme="minorHAnsi"/>
          <w:i/>
          <w:color w:val="auto"/>
          <w:sz w:val="26"/>
          <w:szCs w:val="26"/>
        </w:rPr>
        <w:t xml:space="preserve"> și </w:t>
      </w:r>
      <w:r w:rsidR="0056761D" w:rsidRPr="00FC2582">
        <w:rPr>
          <w:rFonts w:asciiTheme="minorHAnsi" w:hAnsiTheme="minorHAnsi" w:cstheme="minorHAnsi"/>
          <w:i/>
          <w:color w:val="auto"/>
          <w:sz w:val="26"/>
          <w:szCs w:val="26"/>
        </w:rPr>
        <w:t>alții</w:t>
      </w:r>
      <w:r w:rsidRPr="00FC2582">
        <w:rPr>
          <w:rFonts w:asciiTheme="minorHAnsi" w:hAnsiTheme="minorHAnsi" w:cstheme="minorHAnsi"/>
          <w:color w:val="auto"/>
          <w:sz w:val="26"/>
          <w:szCs w:val="26"/>
        </w:rPr>
        <w:t xml:space="preserve">, C-310/10; </w:t>
      </w:r>
      <w:r w:rsidRPr="00FC2582">
        <w:rPr>
          <w:rFonts w:asciiTheme="minorHAnsi" w:hAnsiTheme="minorHAnsi" w:cstheme="minorHAnsi"/>
          <w:i/>
          <w:color w:val="auto"/>
          <w:sz w:val="26"/>
          <w:szCs w:val="26"/>
        </w:rPr>
        <w:t>Anghel</w:t>
      </w:r>
      <w:r w:rsidRPr="00FC2582">
        <w:rPr>
          <w:rFonts w:asciiTheme="minorHAnsi" w:hAnsiTheme="minorHAnsi" w:cstheme="minorHAnsi"/>
          <w:color w:val="auto"/>
          <w:sz w:val="26"/>
          <w:szCs w:val="26"/>
        </w:rPr>
        <w:t xml:space="preserve">, C-441/10; </w:t>
      </w:r>
      <w:r w:rsidRPr="00FC2582">
        <w:rPr>
          <w:rFonts w:asciiTheme="minorHAnsi" w:hAnsiTheme="minorHAnsi" w:cstheme="minorHAnsi"/>
          <w:i/>
          <w:color w:val="auto"/>
          <w:sz w:val="26"/>
          <w:szCs w:val="26"/>
        </w:rPr>
        <w:t xml:space="preserve">SC </w:t>
      </w:r>
      <w:proofErr w:type="spellStart"/>
      <w:r w:rsidRPr="00FC2582">
        <w:rPr>
          <w:rFonts w:asciiTheme="minorHAnsi" w:hAnsiTheme="minorHAnsi" w:cstheme="minorHAnsi"/>
          <w:i/>
          <w:color w:val="auto"/>
          <w:sz w:val="26"/>
          <w:szCs w:val="26"/>
        </w:rPr>
        <w:t>Volksbank</w:t>
      </w:r>
      <w:proofErr w:type="spellEnd"/>
      <w:r w:rsidRPr="00FC2582">
        <w:rPr>
          <w:rFonts w:asciiTheme="minorHAnsi" w:hAnsiTheme="minorHAnsi" w:cstheme="minorHAnsi"/>
          <w:i/>
          <w:color w:val="auto"/>
          <w:sz w:val="26"/>
          <w:szCs w:val="26"/>
        </w:rPr>
        <w:t xml:space="preserve"> România, </w:t>
      </w:r>
      <w:r w:rsidRPr="00FC2582">
        <w:rPr>
          <w:rFonts w:asciiTheme="minorHAnsi" w:hAnsiTheme="minorHAnsi" w:cstheme="minorHAnsi"/>
          <w:color w:val="auto"/>
          <w:sz w:val="26"/>
          <w:szCs w:val="26"/>
        </w:rPr>
        <w:t xml:space="preserve">C-47/11; </w:t>
      </w:r>
      <w:r w:rsidRPr="00FC2582">
        <w:rPr>
          <w:rFonts w:asciiTheme="minorHAnsi" w:hAnsiTheme="minorHAnsi" w:cstheme="minorHAnsi"/>
          <w:i/>
          <w:color w:val="auto"/>
          <w:sz w:val="26"/>
          <w:szCs w:val="26"/>
        </w:rPr>
        <w:t>Corpul Naţional al Poliţiştilor</w:t>
      </w:r>
      <w:r w:rsidRPr="00FC2582">
        <w:rPr>
          <w:rFonts w:asciiTheme="minorHAnsi" w:hAnsiTheme="minorHAnsi" w:cstheme="minorHAnsi"/>
          <w:color w:val="auto"/>
          <w:sz w:val="26"/>
          <w:szCs w:val="26"/>
        </w:rPr>
        <w:t xml:space="preserve">, C-434/11; </w:t>
      </w:r>
      <w:r w:rsidRPr="00FC2582">
        <w:rPr>
          <w:rFonts w:asciiTheme="minorHAnsi" w:hAnsiTheme="minorHAnsi" w:cstheme="minorHAnsi"/>
          <w:i/>
          <w:color w:val="auto"/>
          <w:sz w:val="26"/>
          <w:szCs w:val="26"/>
        </w:rPr>
        <w:t>Asociaţia ACCEPT</w:t>
      </w:r>
      <w:r w:rsidRPr="00FC2582">
        <w:rPr>
          <w:rFonts w:asciiTheme="minorHAnsi" w:hAnsiTheme="minorHAnsi" w:cstheme="minorHAnsi"/>
          <w:color w:val="auto"/>
          <w:sz w:val="26"/>
          <w:szCs w:val="26"/>
        </w:rPr>
        <w:t xml:space="preserve">, C-81/12 ș.a.; </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w:t>
      </w:r>
      <w:r w:rsidR="0056761D" w:rsidRPr="00FC2582">
        <w:rPr>
          <w:rFonts w:asciiTheme="minorHAnsi" w:hAnsiTheme="minorHAnsi" w:cstheme="minorHAnsi"/>
          <w:color w:val="auto"/>
          <w:sz w:val="26"/>
          <w:szCs w:val="26"/>
        </w:rPr>
        <w:t>jurisprudență</w:t>
      </w:r>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i/>
          <w:color w:val="auto"/>
          <w:sz w:val="26"/>
          <w:szCs w:val="26"/>
        </w:rPr>
        <w:t>Plaumann</w:t>
      </w:r>
      <w:proofErr w:type="spellEnd"/>
      <w:r w:rsidRPr="00FC2582">
        <w:rPr>
          <w:rFonts w:asciiTheme="minorHAnsi" w:hAnsiTheme="minorHAnsi" w:cstheme="minorHAnsi"/>
          <w:color w:val="auto"/>
          <w:sz w:val="26"/>
          <w:szCs w:val="26"/>
        </w:rPr>
        <w:t xml:space="preserve">, 25/62; </w:t>
      </w:r>
      <w:proofErr w:type="spellStart"/>
      <w:r w:rsidRPr="00FC2582">
        <w:rPr>
          <w:rFonts w:asciiTheme="minorHAnsi" w:hAnsiTheme="minorHAnsi" w:cstheme="minorHAnsi"/>
          <w:i/>
          <w:color w:val="auto"/>
          <w:sz w:val="26"/>
          <w:szCs w:val="26"/>
        </w:rPr>
        <w:t>Codorniu</w:t>
      </w:r>
      <w:proofErr w:type="spellEnd"/>
      <w:r w:rsidRPr="00FC2582">
        <w:rPr>
          <w:rFonts w:asciiTheme="minorHAnsi" w:hAnsiTheme="minorHAnsi" w:cstheme="minorHAnsi"/>
          <w:color w:val="auto"/>
          <w:sz w:val="26"/>
          <w:szCs w:val="26"/>
        </w:rPr>
        <w:t xml:space="preserve">, C-309/89; </w:t>
      </w:r>
      <w:proofErr w:type="spellStart"/>
      <w:r w:rsidRPr="00FC2582">
        <w:rPr>
          <w:rFonts w:asciiTheme="minorHAnsi" w:hAnsiTheme="minorHAnsi" w:cstheme="minorHAnsi"/>
          <w:i/>
          <w:color w:val="auto"/>
          <w:sz w:val="26"/>
          <w:szCs w:val="26"/>
        </w:rPr>
        <w:t>Extramet</w:t>
      </w:r>
      <w:proofErr w:type="spellEnd"/>
      <w:r w:rsidRPr="00FC2582">
        <w:rPr>
          <w:rFonts w:asciiTheme="minorHAnsi" w:hAnsiTheme="minorHAnsi" w:cstheme="minorHAnsi"/>
          <w:color w:val="auto"/>
          <w:sz w:val="26"/>
          <w:szCs w:val="26"/>
        </w:rPr>
        <w:t xml:space="preserve">, C-358/89; </w:t>
      </w:r>
      <w:proofErr w:type="spellStart"/>
      <w:r w:rsidRPr="00FC2582">
        <w:rPr>
          <w:rFonts w:asciiTheme="minorHAnsi" w:hAnsiTheme="minorHAnsi" w:cstheme="minorHAnsi"/>
          <w:i/>
          <w:color w:val="auto"/>
          <w:sz w:val="26"/>
          <w:szCs w:val="26"/>
        </w:rPr>
        <w:t>Unión</w:t>
      </w:r>
      <w:proofErr w:type="spellEnd"/>
      <w:r w:rsidRPr="00FC2582">
        <w:rPr>
          <w:rFonts w:asciiTheme="minorHAnsi" w:hAnsiTheme="minorHAnsi" w:cstheme="minorHAnsi"/>
          <w:i/>
          <w:color w:val="auto"/>
          <w:sz w:val="26"/>
          <w:szCs w:val="26"/>
        </w:rPr>
        <w:t xml:space="preserve"> de </w:t>
      </w:r>
      <w:proofErr w:type="spellStart"/>
      <w:r w:rsidRPr="00FC2582">
        <w:rPr>
          <w:rFonts w:asciiTheme="minorHAnsi" w:hAnsiTheme="minorHAnsi" w:cstheme="minorHAnsi"/>
          <w:i/>
          <w:color w:val="auto"/>
          <w:sz w:val="26"/>
          <w:szCs w:val="26"/>
        </w:rPr>
        <w:t>Pequeños</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Agricultores</w:t>
      </w:r>
      <w:proofErr w:type="spellEnd"/>
      <w:r w:rsidRPr="00FC2582">
        <w:rPr>
          <w:rFonts w:asciiTheme="minorHAnsi" w:hAnsiTheme="minorHAnsi" w:cstheme="minorHAnsi"/>
          <w:color w:val="auto"/>
          <w:sz w:val="26"/>
          <w:szCs w:val="26"/>
        </w:rPr>
        <w:t xml:space="preserve">, C-50/00 P; </w:t>
      </w:r>
      <w:proofErr w:type="spellStart"/>
      <w:r w:rsidRPr="00FC2582">
        <w:rPr>
          <w:rFonts w:asciiTheme="minorHAnsi" w:hAnsiTheme="minorHAnsi" w:cstheme="minorHAnsi"/>
          <w:i/>
          <w:color w:val="auto"/>
          <w:sz w:val="26"/>
          <w:szCs w:val="26"/>
        </w:rPr>
        <w:t>Jégo-Quéré</w:t>
      </w:r>
      <w:proofErr w:type="spellEnd"/>
      <w:r w:rsidRPr="00FC2582">
        <w:rPr>
          <w:rFonts w:asciiTheme="minorHAnsi" w:hAnsiTheme="minorHAnsi" w:cstheme="minorHAnsi"/>
          <w:color w:val="auto"/>
          <w:sz w:val="26"/>
          <w:szCs w:val="26"/>
        </w:rPr>
        <w:t xml:space="preserve">, T-177/01 şi C-263/02; </w:t>
      </w:r>
      <w:r w:rsidRPr="00FC2582">
        <w:rPr>
          <w:rFonts w:asciiTheme="minorHAnsi" w:hAnsiTheme="minorHAnsi" w:cstheme="minorHAnsi"/>
          <w:i/>
          <w:color w:val="auto"/>
          <w:sz w:val="26"/>
          <w:szCs w:val="26"/>
        </w:rPr>
        <w:t>Jipa</w:t>
      </w:r>
      <w:r w:rsidRPr="00FC2582">
        <w:rPr>
          <w:rFonts w:asciiTheme="minorHAnsi" w:hAnsiTheme="minorHAnsi" w:cstheme="minorHAnsi"/>
          <w:color w:val="auto"/>
          <w:sz w:val="26"/>
          <w:szCs w:val="26"/>
        </w:rPr>
        <w:t xml:space="preserve">, C-33/2007 – prima cerere preliminară introdusă de o instanţă din România la CJCE (CJ, în prezent); </w:t>
      </w:r>
      <w:proofErr w:type="spellStart"/>
      <w:r w:rsidRPr="00FC2582">
        <w:rPr>
          <w:rFonts w:asciiTheme="minorHAnsi" w:hAnsiTheme="minorHAnsi" w:cstheme="minorHAnsi"/>
          <w:i/>
          <w:color w:val="auto"/>
          <w:sz w:val="26"/>
          <w:szCs w:val="26"/>
        </w:rPr>
        <w:t>Dorsch</w:t>
      </w:r>
      <w:proofErr w:type="spellEnd"/>
      <w:r w:rsidRPr="00FC2582">
        <w:rPr>
          <w:rFonts w:asciiTheme="minorHAnsi" w:hAnsiTheme="minorHAnsi" w:cstheme="minorHAnsi"/>
          <w:i/>
          <w:color w:val="auto"/>
          <w:sz w:val="26"/>
          <w:szCs w:val="26"/>
        </w:rPr>
        <w:t xml:space="preserve"> Consult</w:t>
      </w:r>
      <w:r w:rsidRPr="00FC2582">
        <w:rPr>
          <w:rFonts w:asciiTheme="minorHAnsi" w:hAnsiTheme="minorHAnsi" w:cstheme="minorHAnsi"/>
          <w:color w:val="auto"/>
          <w:sz w:val="26"/>
          <w:szCs w:val="26"/>
        </w:rPr>
        <w:t xml:space="preserve">, C-54/96 (1); </w:t>
      </w:r>
      <w:r w:rsidRPr="00FC2582">
        <w:rPr>
          <w:rFonts w:asciiTheme="minorHAnsi" w:hAnsiTheme="minorHAnsi" w:cstheme="minorHAnsi"/>
          <w:i/>
          <w:color w:val="auto"/>
          <w:sz w:val="26"/>
          <w:szCs w:val="26"/>
        </w:rPr>
        <w:t>Firma Foto-Frost</w:t>
      </w:r>
      <w:r w:rsidRPr="00FC2582">
        <w:rPr>
          <w:rFonts w:asciiTheme="minorHAnsi" w:hAnsiTheme="minorHAnsi" w:cstheme="minorHAnsi"/>
          <w:color w:val="auto"/>
          <w:sz w:val="26"/>
          <w:szCs w:val="26"/>
        </w:rPr>
        <w:t xml:space="preserve">, 314/85; </w:t>
      </w:r>
      <w:r w:rsidRPr="00FC2582">
        <w:rPr>
          <w:rFonts w:asciiTheme="minorHAnsi" w:hAnsiTheme="minorHAnsi" w:cstheme="minorHAnsi"/>
          <w:i/>
          <w:color w:val="auto"/>
          <w:sz w:val="26"/>
          <w:szCs w:val="26"/>
        </w:rPr>
        <w:t>CILFIT</w:t>
      </w:r>
      <w:r w:rsidRPr="00FC2582">
        <w:rPr>
          <w:rFonts w:asciiTheme="minorHAnsi" w:hAnsiTheme="minorHAnsi" w:cstheme="minorHAnsi"/>
          <w:color w:val="auto"/>
          <w:sz w:val="26"/>
          <w:szCs w:val="26"/>
        </w:rPr>
        <w:t xml:space="preserve">, C-283/81. </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color w:val="auto"/>
          <w:sz w:val="26"/>
          <w:szCs w:val="26"/>
        </w:rPr>
        <w:t>7.</w:t>
      </w:r>
      <w:r w:rsidRPr="00FC2582">
        <w:rPr>
          <w:rFonts w:asciiTheme="minorHAnsi" w:hAnsiTheme="minorHAnsi" w:cstheme="minorHAnsi"/>
          <w:color w:val="auto"/>
          <w:sz w:val="26"/>
          <w:szCs w:val="26"/>
        </w:rPr>
        <w:t xml:space="preserve"> </w:t>
      </w:r>
      <w:r w:rsidRPr="00FC2582">
        <w:rPr>
          <w:rFonts w:asciiTheme="minorHAnsi" w:hAnsiTheme="minorHAnsi" w:cstheme="minorHAnsi"/>
          <w:b/>
          <w:bCs/>
          <w:color w:val="auto"/>
          <w:sz w:val="26"/>
          <w:szCs w:val="26"/>
        </w:rPr>
        <w:t>Procedura pentru neîndeplinirea obligaţiilor asumate de către statele membre prin tratatele institutive şi cele modificatoare (procedura de infringement):</w:t>
      </w:r>
    </w:p>
    <w:p w:rsidR="00D67FF7" w:rsidRPr="00FC2582" w:rsidRDefault="00D67FF7" w:rsidP="00D67FF7">
      <w:pPr>
        <w:tabs>
          <w:tab w:val="left" w:pos="720"/>
        </w:tabs>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bCs/>
          <w:color w:val="auto"/>
          <w:sz w:val="26"/>
          <w:szCs w:val="26"/>
        </w:rPr>
        <w:t xml:space="preserve">- jurisprudenţă: </w:t>
      </w:r>
      <w:r w:rsidRPr="00FC2582">
        <w:rPr>
          <w:rFonts w:asciiTheme="minorHAnsi" w:hAnsiTheme="minorHAnsi" w:cstheme="minorHAnsi"/>
          <w:i/>
          <w:color w:val="auto"/>
          <w:sz w:val="26"/>
          <w:szCs w:val="26"/>
        </w:rPr>
        <w:t>Franţa/Marea Britanie</w:t>
      </w:r>
      <w:r w:rsidRPr="00FC2582">
        <w:rPr>
          <w:rFonts w:asciiTheme="minorHAnsi" w:hAnsiTheme="minorHAnsi" w:cstheme="minorHAnsi"/>
          <w:color w:val="auto"/>
          <w:sz w:val="26"/>
          <w:szCs w:val="26"/>
        </w:rPr>
        <w:t xml:space="preserve"> 141/78; </w:t>
      </w:r>
      <w:r w:rsidRPr="00FC2582">
        <w:rPr>
          <w:rFonts w:asciiTheme="minorHAnsi" w:hAnsiTheme="minorHAnsi" w:cstheme="minorHAnsi"/>
          <w:i/>
          <w:color w:val="auto"/>
          <w:sz w:val="26"/>
          <w:szCs w:val="26"/>
        </w:rPr>
        <w:t>Comisia/Irlanda,</w:t>
      </w:r>
      <w:r w:rsidRPr="00FC2582">
        <w:rPr>
          <w:rFonts w:asciiTheme="minorHAnsi" w:hAnsiTheme="minorHAnsi" w:cstheme="minorHAnsi"/>
          <w:color w:val="auto"/>
          <w:sz w:val="26"/>
          <w:szCs w:val="26"/>
        </w:rPr>
        <w:t xml:space="preserve"> 248/81; </w:t>
      </w:r>
      <w:r w:rsidRPr="00FC2582">
        <w:rPr>
          <w:rFonts w:asciiTheme="minorHAnsi" w:hAnsiTheme="minorHAnsi" w:cstheme="minorHAnsi"/>
          <w:i/>
          <w:color w:val="auto"/>
          <w:sz w:val="26"/>
          <w:szCs w:val="26"/>
        </w:rPr>
        <w:lastRenderedPageBreak/>
        <w:t>Comisia/Grecia,</w:t>
      </w:r>
      <w:r w:rsidRPr="00FC2582">
        <w:rPr>
          <w:rFonts w:asciiTheme="minorHAnsi" w:hAnsiTheme="minorHAnsi" w:cstheme="minorHAnsi"/>
          <w:color w:val="auto"/>
          <w:sz w:val="26"/>
          <w:szCs w:val="26"/>
        </w:rPr>
        <w:t xml:space="preserve"> C-387/97;</w:t>
      </w:r>
    </w:p>
    <w:p w:rsidR="00D67FF7" w:rsidRPr="00FC2582" w:rsidRDefault="00D67FF7" w:rsidP="00D67FF7">
      <w:pPr>
        <w:tabs>
          <w:tab w:val="left" w:pos="720"/>
        </w:tabs>
        <w:autoSpaceDE w:val="0"/>
        <w:autoSpaceDN w:val="0"/>
        <w:adjustRightInd w:val="0"/>
        <w:ind w:left="720"/>
        <w:jc w:val="both"/>
        <w:rPr>
          <w:rFonts w:asciiTheme="minorHAnsi" w:hAnsiTheme="minorHAnsi" w:cstheme="minorHAnsi"/>
          <w:bCs/>
          <w:color w:val="auto"/>
          <w:sz w:val="26"/>
          <w:szCs w:val="26"/>
        </w:rPr>
      </w:pPr>
      <w:r w:rsidRPr="00FC2582">
        <w:rPr>
          <w:rFonts w:asciiTheme="minorHAnsi" w:hAnsiTheme="minorHAnsi" w:cstheme="minorHAnsi"/>
          <w:color w:val="auto"/>
          <w:sz w:val="26"/>
          <w:szCs w:val="26"/>
        </w:rPr>
        <w:t>- proceduri declanşate împotriva statului român (taxa de primă înmatriculare; taxa de poluare; timbrul de mediu ș.a.).</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color w:val="auto"/>
          <w:sz w:val="26"/>
          <w:szCs w:val="26"/>
        </w:rPr>
        <w:t>8.</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Implicarea avocaţilor în soluţionarea litigiilor privind</w:t>
      </w:r>
      <w:r w:rsidRPr="00FC2582">
        <w:rPr>
          <w:rFonts w:asciiTheme="minorHAnsi" w:hAnsiTheme="minorHAnsi" w:cstheme="minorHAnsi"/>
          <w:color w:val="auto"/>
          <w:sz w:val="26"/>
          <w:szCs w:val="26"/>
        </w:rPr>
        <w:t xml:space="preserve"> </w:t>
      </w:r>
      <w:r w:rsidRPr="00FC2582">
        <w:rPr>
          <w:rFonts w:asciiTheme="minorHAnsi" w:hAnsiTheme="minorHAnsi" w:cstheme="minorHAnsi"/>
          <w:b/>
          <w:bCs/>
          <w:color w:val="auto"/>
          <w:sz w:val="26"/>
          <w:szCs w:val="26"/>
        </w:rPr>
        <w:t>libera circulaţie a mărfurilor în spaţiul UE – jurisprudenţă relevantă:</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mărfurile care beneficiază de libera circulaţie;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interzicerea taxelor vamale şi a taxelor cu efect echivalent taxelor vamale;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interzicerea restricţiilor cantitative şi a măsurilor cu efect echivalent restricţiilor cantitative;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excepţiile de la principiul liberei circulaţii a mărfurilor;</w:t>
      </w:r>
    </w:p>
    <w:p w:rsidR="00D67FF7" w:rsidRPr="00FC2582" w:rsidRDefault="00D67FF7" w:rsidP="00D67FF7">
      <w:pPr>
        <w:autoSpaceDE w:val="0"/>
        <w:autoSpaceDN w:val="0"/>
        <w:adjustRightInd w:val="0"/>
        <w:ind w:left="720"/>
        <w:jc w:val="both"/>
        <w:rPr>
          <w:rFonts w:asciiTheme="minorHAnsi" w:hAnsiTheme="minorHAnsi" w:cstheme="minorHAnsi"/>
          <w:i/>
          <w:color w:val="auto"/>
          <w:sz w:val="26"/>
          <w:szCs w:val="26"/>
        </w:rPr>
      </w:pPr>
      <w:r w:rsidRPr="00FC2582">
        <w:rPr>
          <w:rFonts w:asciiTheme="minorHAnsi" w:hAnsiTheme="minorHAnsi" w:cstheme="minorHAnsi"/>
          <w:color w:val="auto"/>
          <w:sz w:val="26"/>
          <w:szCs w:val="26"/>
        </w:rPr>
        <w:t xml:space="preserve">- </w:t>
      </w:r>
      <w:r w:rsidR="0056761D" w:rsidRPr="00FC2582">
        <w:rPr>
          <w:rFonts w:asciiTheme="minorHAnsi" w:hAnsiTheme="minorHAnsi" w:cstheme="minorHAnsi"/>
          <w:color w:val="auto"/>
          <w:sz w:val="26"/>
          <w:szCs w:val="26"/>
        </w:rPr>
        <w:t>jurisprudență</w:t>
      </w:r>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i/>
          <w:color w:val="auto"/>
          <w:sz w:val="26"/>
          <w:szCs w:val="26"/>
        </w:rPr>
        <w:t>Cassis</w:t>
      </w:r>
      <w:proofErr w:type="spellEnd"/>
      <w:r w:rsidRPr="00FC2582">
        <w:rPr>
          <w:rFonts w:asciiTheme="minorHAnsi" w:hAnsiTheme="minorHAnsi" w:cstheme="minorHAnsi"/>
          <w:i/>
          <w:color w:val="auto"/>
          <w:sz w:val="26"/>
          <w:szCs w:val="26"/>
        </w:rPr>
        <w:t xml:space="preserve"> de Dijon, </w:t>
      </w:r>
      <w:r w:rsidRPr="00FC2582">
        <w:rPr>
          <w:rFonts w:asciiTheme="minorHAnsi" w:hAnsiTheme="minorHAnsi" w:cstheme="minorHAnsi"/>
          <w:color w:val="auto"/>
          <w:sz w:val="26"/>
          <w:szCs w:val="26"/>
        </w:rPr>
        <w:t>120/78;</w:t>
      </w:r>
      <w:r w:rsidRPr="00FC2582">
        <w:rPr>
          <w:rFonts w:asciiTheme="minorHAnsi" w:hAnsiTheme="minorHAnsi" w:cstheme="minorHAnsi"/>
          <w:i/>
          <w:color w:val="auto"/>
          <w:sz w:val="26"/>
          <w:szCs w:val="26"/>
        </w:rPr>
        <w:t xml:space="preserve"> </w:t>
      </w:r>
      <w:r w:rsidRPr="00FC2582">
        <w:rPr>
          <w:rFonts w:asciiTheme="minorHAnsi" w:hAnsiTheme="minorHAnsi" w:cstheme="minorHAnsi"/>
          <w:i/>
          <w:webHidden/>
          <w:color w:val="auto"/>
          <w:sz w:val="26"/>
          <w:szCs w:val="26"/>
        </w:rPr>
        <w:t>Comisia/Danemarca,</w:t>
      </w:r>
      <w:r w:rsidRPr="00FC2582">
        <w:rPr>
          <w:rFonts w:asciiTheme="minorHAnsi" w:hAnsiTheme="minorHAnsi" w:cstheme="minorHAnsi"/>
          <w:i/>
          <w:color w:val="auto"/>
          <w:sz w:val="26"/>
          <w:szCs w:val="26"/>
        </w:rPr>
        <w:t xml:space="preserve"> </w:t>
      </w:r>
      <w:r w:rsidRPr="00FC2582">
        <w:rPr>
          <w:rFonts w:asciiTheme="minorHAnsi" w:hAnsiTheme="minorHAnsi" w:cstheme="minorHAnsi"/>
          <w:color w:val="auto"/>
          <w:sz w:val="26"/>
          <w:szCs w:val="26"/>
        </w:rPr>
        <w:t>C-47/88</w:t>
      </w:r>
      <w:r w:rsidRPr="00FC2582">
        <w:rPr>
          <w:rFonts w:asciiTheme="minorHAnsi" w:hAnsiTheme="minorHAnsi" w:cstheme="minorHAnsi"/>
          <w:webHidden/>
          <w:color w:val="auto"/>
          <w:sz w:val="26"/>
          <w:szCs w:val="26"/>
        </w:rPr>
        <w:t>;</w:t>
      </w:r>
      <w:r w:rsidRPr="00FC2582">
        <w:rPr>
          <w:rFonts w:asciiTheme="minorHAnsi" w:hAnsiTheme="minorHAnsi" w:cstheme="minorHAnsi"/>
          <w:i/>
          <w:webHidden/>
          <w:color w:val="auto"/>
          <w:sz w:val="26"/>
          <w:szCs w:val="26"/>
        </w:rPr>
        <w:t xml:space="preserve"> </w:t>
      </w:r>
      <w:proofErr w:type="spellStart"/>
      <w:r w:rsidRPr="00FC2582">
        <w:rPr>
          <w:rFonts w:asciiTheme="minorHAnsi" w:hAnsiTheme="minorHAnsi" w:cstheme="minorHAnsi"/>
          <w:i/>
          <w:color w:val="auto"/>
          <w:sz w:val="26"/>
          <w:szCs w:val="26"/>
        </w:rPr>
        <w:t>Fazenda</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Pública</w:t>
      </w:r>
      <w:proofErr w:type="spellEnd"/>
      <w:r w:rsidRPr="00FC2582">
        <w:rPr>
          <w:rFonts w:asciiTheme="minorHAnsi" w:hAnsiTheme="minorHAnsi" w:cstheme="minorHAnsi"/>
          <w:i/>
          <w:color w:val="auto"/>
          <w:sz w:val="26"/>
          <w:szCs w:val="26"/>
        </w:rPr>
        <w:t xml:space="preserve"> et </w:t>
      </w:r>
      <w:proofErr w:type="spellStart"/>
      <w:r w:rsidRPr="00FC2582">
        <w:rPr>
          <w:rFonts w:asciiTheme="minorHAnsi" w:hAnsiTheme="minorHAnsi" w:cstheme="minorHAnsi"/>
          <w:i/>
          <w:color w:val="auto"/>
          <w:sz w:val="26"/>
          <w:szCs w:val="26"/>
        </w:rPr>
        <w:t>Ministério</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Público</w:t>
      </w:r>
      <w:proofErr w:type="spellEnd"/>
      <w:r w:rsidRPr="00FC2582">
        <w:rPr>
          <w:rFonts w:asciiTheme="minorHAnsi" w:hAnsiTheme="minorHAnsi" w:cstheme="minorHAnsi"/>
          <w:i/>
          <w:color w:val="auto"/>
          <w:sz w:val="26"/>
          <w:szCs w:val="26"/>
        </w:rPr>
        <w:t>/</w:t>
      </w:r>
      <w:proofErr w:type="spellStart"/>
      <w:r w:rsidRPr="00FC2582">
        <w:rPr>
          <w:rFonts w:asciiTheme="minorHAnsi" w:hAnsiTheme="minorHAnsi" w:cstheme="minorHAnsi"/>
          <w:i/>
          <w:color w:val="auto"/>
          <w:sz w:val="26"/>
          <w:szCs w:val="26"/>
        </w:rPr>
        <w:t>Américo</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João</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Nunes</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Tadeu</w:t>
      </w:r>
      <w:proofErr w:type="spellEnd"/>
      <w:r w:rsidRPr="00FC2582">
        <w:rPr>
          <w:rFonts w:asciiTheme="minorHAnsi" w:hAnsiTheme="minorHAnsi" w:cstheme="minorHAnsi"/>
          <w:i/>
          <w:color w:val="auto"/>
          <w:sz w:val="26"/>
          <w:szCs w:val="26"/>
        </w:rPr>
        <w:t xml:space="preserve">, </w:t>
      </w:r>
      <w:r w:rsidRPr="00FC2582">
        <w:rPr>
          <w:rFonts w:asciiTheme="minorHAnsi" w:hAnsiTheme="minorHAnsi" w:cstheme="minorHAnsi"/>
          <w:color w:val="auto"/>
          <w:sz w:val="26"/>
          <w:szCs w:val="26"/>
        </w:rPr>
        <w:t>C-345/93;</w:t>
      </w:r>
      <w:r w:rsidRPr="00FC2582">
        <w:rPr>
          <w:rFonts w:asciiTheme="minorHAnsi" w:hAnsiTheme="minorHAnsi" w:cstheme="minorHAnsi"/>
          <w:i/>
          <w:color w:val="auto"/>
          <w:sz w:val="26"/>
          <w:szCs w:val="26"/>
        </w:rPr>
        <w:t xml:space="preserve"> Comisia/Grecia, </w:t>
      </w:r>
      <w:r w:rsidRPr="00FC2582">
        <w:rPr>
          <w:rFonts w:asciiTheme="minorHAnsi" w:hAnsiTheme="minorHAnsi" w:cstheme="minorHAnsi"/>
          <w:color w:val="auto"/>
          <w:sz w:val="26"/>
          <w:szCs w:val="26"/>
        </w:rPr>
        <w:t xml:space="preserve">C-375/95. </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color w:val="auto"/>
          <w:sz w:val="26"/>
          <w:szCs w:val="26"/>
        </w:rPr>
        <w:t>9.</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Implicarea avocaţilor în soluţionarea litigiilor privind</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l</w:t>
      </w:r>
      <w:r w:rsidRPr="00FC2582">
        <w:rPr>
          <w:rFonts w:asciiTheme="minorHAnsi" w:hAnsiTheme="minorHAnsi" w:cstheme="minorHAnsi"/>
          <w:b/>
          <w:bCs/>
          <w:color w:val="auto"/>
          <w:sz w:val="26"/>
          <w:szCs w:val="26"/>
        </w:rPr>
        <w:t>ibera circulaţie a persoanelor şi a serviciilor – jurisprudenţă relevantă; posibile consecințe juridice ale ieșirii Regatului Unit al Marii Britanii și Irlandei de Nord din Uniunea Europeană (</w:t>
      </w:r>
      <w:proofErr w:type="spellStart"/>
      <w:r w:rsidRPr="00FC2582">
        <w:rPr>
          <w:rFonts w:asciiTheme="minorHAnsi" w:hAnsiTheme="minorHAnsi" w:cstheme="minorHAnsi"/>
          <w:b/>
          <w:bCs/>
          <w:color w:val="auto"/>
          <w:sz w:val="26"/>
          <w:szCs w:val="26"/>
        </w:rPr>
        <w:t>Brexit</w:t>
      </w:r>
      <w:proofErr w:type="spellEnd"/>
      <w:r w:rsidRPr="00FC2582">
        <w:rPr>
          <w:rFonts w:asciiTheme="minorHAnsi" w:hAnsiTheme="minorHAnsi" w:cstheme="minorHAnsi"/>
          <w:b/>
          <w:bCs/>
          <w:color w:val="auto"/>
          <w:sz w:val="26"/>
          <w:szCs w:val="26"/>
        </w:rPr>
        <w:t>):</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beneficiarii liberei circulaţii a persoanelor şi a serviciilor; libera circulaţie a liber-profesioniştilor;</w:t>
      </w:r>
    </w:p>
    <w:p w:rsidR="00D67FF7" w:rsidRPr="00FC2582" w:rsidRDefault="00D67FF7" w:rsidP="00D67FF7">
      <w:pPr>
        <w:autoSpaceDE w:val="0"/>
        <w:autoSpaceDN w:val="0"/>
        <w:adjustRightInd w:val="0"/>
        <w:ind w:left="720"/>
        <w:jc w:val="both"/>
        <w:rPr>
          <w:rFonts w:asciiTheme="minorHAnsi" w:hAnsiTheme="minorHAnsi" w:cstheme="minorHAnsi"/>
          <w:bCs/>
          <w:color w:val="auto"/>
          <w:sz w:val="26"/>
          <w:szCs w:val="26"/>
        </w:rPr>
      </w:pPr>
      <w:r w:rsidRPr="00FC2582">
        <w:rPr>
          <w:rFonts w:asciiTheme="minorHAnsi" w:hAnsiTheme="minorHAnsi" w:cstheme="minorHAnsi"/>
          <w:color w:val="auto"/>
          <w:sz w:val="26"/>
          <w:szCs w:val="26"/>
        </w:rPr>
        <w:t xml:space="preserve">- </w:t>
      </w:r>
      <w:r w:rsidRPr="00FC2582">
        <w:rPr>
          <w:rFonts w:asciiTheme="minorHAnsi" w:hAnsiTheme="minorHAnsi" w:cstheme="minorHAnsi"/>
          <w:bCs/>
          <w:color w:val="auto"/>
          <w:sz w:val="26"/>
          <w:szCs w:val="26"/>
        </w:rPr>
        <w:t>avocatul european:</w:t>
      </w:r>
    </w:p>
    <w:p w:rsidR="00D67FF7" w:rsidRPr="00FC2582" w:rsidRDefault="00D67FF7" w:rsidP="00D67FF7">
      <w:pPr>
        <w:widowControl/>
        <w:numPr>
          <w:ilvl w:val="0"/>
          <w:numId w:val="42"/>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calitatea serviciilor şi competenţa;</w:t>
      </w:r>
    </w:p>
    <w:p w:rsidR="00D67FF7" w:rsidRPr="00FC2582" w:rsidRDefault="00D67FF7" w:rsidP="00D67FF7">
      <w:pPr>
        <w:widowControl/>
        <w:numPr>
          <w:ilvl w:val="0"/>
          <w:numId w:val="42"/>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probleme financiare (nivelul onorariilor; asistenţa gratuită; Pactele de </w:t>
      </w:r>
      <w:proofErr w:type="spellStart"/>
      <w:r w:rsidRPr="00FC2582">
        <w:rPr>
          <w:rFonts w:asciiTheme="minorHAnsi" w:hAnsiTheme="minorHAnsi" w:cstheme="minorHAnsi"/>
          <w:color w:val="auto"/>
          <w:sz w:val="26"/>
          <w:szCs w:val="26"/>
        </w:rPr>
        <w:t>Quota</w:t>
      </w:r>
      <w:proofErr w:type="spellEnd"/>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color w:val="auto"/>
          <w:sz w:val="26"/>
          <w:szCs w:val="26"/>
        </w:rPr>
        <w:t>litis</w:t>
      </w:r>
      <w:proofErr w:type="spellEnd"/>
      <w:r w:rsidRPr="00FC2582">
        <w:rPr>
          <w:rFonts w:asciiTheme="minorHAnsi" w:hAnsiTheme="minorHAnsi" w:cstheme="minorHAnsi"/>
          <w:color w:val="auto"/>
          <w:sz w:val="26"/>
          <w:szCs w:val="26"/>
        </w:rPr>
        <w:t xml:space="preserve"> – onorarii posibile şi acţiuni speculative; împărţirea onorariilor, plata altor persoane decât avocaţi şi cum se pot face plăţi pentru obţinerea de cazuri; protecţia fondurilor clienţilor);</w:t>
      </w:r>
    </w:p>
    <w:p w:rsidR="00D67FF7" w:rsidRPr="00FC2582" w:rsidRDefault="00D67FF7" w:rsidP="00D67FF7">
      <w:pPr>
        <w:widowControl/>
        <w:numPr>
          <w:ilvl w:val="0"/>
          <w:numId w:val="42"/>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relaţiile şi comunicarea dintre avocaţi.</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excepţiile de la aplicarea principiului liberei circulaţii a persoanelor şi a serviciilor;</w:t>
      </w:r>
    </w:p>
    <w:p w:rsidR="00D67FF7" w:rsidRPr="00FC2582" w:rsidRDefault="00D67FF7" w:rsidP="00D67FF7">
      <w:pPr>
        <w:autoSpaceDE w:val="0"/>
        <w:autoSpaceDN w:val="0"/>
        <w:adjustRightInd w:val="0"/>
        <w:ind w:firstLine="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dispoziţiile Tratatului de aderare a României la UE în materia liberei circulaţii a persoanelor şi a serviciilor;</w:t>
      </w:r>
    </w:p>
    <w:p w:rsidR="00D67FF7" w:rsidRPr="00FC2582" w:rsidRDefault="00D67FF7" w:rsidP="00D67FF7">
      <w:pPr>
        <w:autoSpaceDE w:val="0"/>
        <w:autoSpaceDN w:val="0"/>
        <w:adjustRightInd w:val="0"/>
        <w:ind w:firstLine="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xml:space="preserve">- jurisprudenţă: </w:t>
      </w:r>
      <w:r w:rsidRPr="00FC2582">
        <w:rPr>
          <w:rFonts w:asciiTheme="minorHAnsi" w:hAnsiTheme="minorHAnsi" w:cstheme="minorHAnsi"/>
          <w:i/>
          <w:color w:val="auto"/>
          <w:sz w:val="26"/>
          <w:szCs w:val="26"/>
        </w:rPr>
        <w:t>Lawrie Blum</w:t>
      </w:r>
      <w:r w:rsidRPr="00FC2582">
        <w:rPr>
          <w:rFonts w:asciiTheme="minorHAnsi" w:hAnsiTheme="minorHAnsi" w:cstheme="minorHAnsi"/>
          <w:color w:val="auto"/>
          <w:sz w:val="26"/>
          <w:szCs w:val="26"/>
        </w:rPr>
        <w:t xml:space="preserve">, 66/85; </w:t>
      </w:r>
      <w:proofErr w:type="spellStart"/>
      <w:r w:rsidRPr="00FC2582">
        <w:rPr>
          <w:rFonts w:asciiTheme="minorHAnsi" w:hAnsiTheme="minorHAnsi" w:cstheme="minorHAnsi"/>
          <w:i/>
          <w:color w:val="auto"/>
          <w:sz w:val="26"/>
          <w:szCs w:val="26"/>
        </w:rPr>
        <w:t>Royer</w:t>
      </w:r>
      <w:proofErr w:type="spellEnd"/>
      <w:r w:rsidRPr="00FC2582">
        <w:rPr>
          <w:rFonts w:asciiTheme="minorHAnsi" w:hAnsiTheme="minorHAnsi" w:cstheme="minorHAnsi"/>
          <w:color w:val="auto"/>
          <w:sz w:val="26"/>
          <w:szCs w:val="26"/>
        </w:rPr>
        <w:t xml:space="preserve">, 48/75; </w:t>
      </w:r>
      <w:proofErr w:type="spellStart"/>
      <w:r w:rsidRPr="00FC2582">
        <w:rPr>
          <w:rFonts w:asciiTheme="minorHAnsi" w:hAnsiTheme="minorHAnsi" w:cstheme="minorHAnsi"/>
          <w:i/>
          <w:color w:val="auto"/>
          <w:sz w:val="26"/>
          <w:szCs w:val="26"/>
        </w:rPr>
        <w:t>Rutili</w:t>
      </w:r>
      <w:proofErr w:type="spellEnd"/>
      <w:r w:rsidRPr="00FC2582">
        <w:rPr>
          <w:rFonts w:asciiTheme="minorHAnsi" w:hAnsiTheme="minorHAnsi" w:cstheme="minorHAnsi"/>
          <w:color w:val="auto"/>
          <w:sz w:val="26"/>
          <w:szCs w:val="26"/>
        </w:rPr>
        <w:t>, 36/75.</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color w:val="auto"/>
          <w:sz w:val="26"/>
          <w:szCs w:val="26"/>
        </w:rPr>
        <w:t>10.</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Asistenţa juridică acordată de către avocaţi în soluţionarea litigiilor privind l</w:t>
      </w:r>
      <w:r w:rsidRPr="00FC2582">
        <w:rPr>
          <w:rFonts w:asciiTheme="minorHAnsi" w:hAnsiTheme="minorHAnsi" w:cstheme="minorHAnsi"/>
          <w:b/>
          <w:bCs/>
          <w:color w:val="auto"/>
          <w:sz w:val="26"/>
          <w:szCs w:val="26"/>
        </w:rPr>
        <w:t>ibera circulaţie a capitalurilor şi a plăţilor – jurisprudenţă relevantă:</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sediul materiei;</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excepţii de la aplicarea principiului liberei circulaţii a capitalurilor şi a plăţilor;</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dispoziţiile Tratatului de aderare a României la UE în materia liberei circulaţii a capitalurilor şi plăţilor.</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bCs/>
          <w:color w:val="auto"/>
          <w:sz w:val="26"/>
          <w:szCs w:val="26"/>
        </w:rPr>
        <w:t>11. Aspecte jurisprudenţiale specifice dreptului concurenţial al UE și protecția juridică a mărcii comunitare: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interzicerea înţelegerilor monopoliste între întreprinderi;</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abuzul de poziţie dominantă;</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formele de control al comportamentelor întreprinderilor;</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operaţiunile de concentrare între întreprinderi.</w:t>
      </w:r>
    </w:p>
    <w:p w:rsidR="00D67FF7" w:rsidRPr="00FC2582" w:rsidRDefault="00D67FF7" w:rsidP="00D67FF7">
      <w:pPr>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statutul întreprinderilor publice;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regimul ajutoarelor acordate de statele membre;</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lastRenderedPageBreak/>
        <w:t>- monopolurile de stat având caracter comercial;</w:t>
      </w:r>
    </w:p>
    <w:p w:rsidR="00D67FF7" w:rsidRPr="00FC2582" w:rsidRDefault="00D67FF7" w:rsidP="00D67FF7">
      <w:pPr>
        <w:autoSpaceDE w:val="0"/>
        <w:autoSpaceDN w:val="0"/>
        <w:adjustRightInd w:val="0"/>
        <w:ind w:left="72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 jurisprudență.</w:t>
      </w:r>
    </w:p>
    <w:p w:rsidR="00D67FF7" w:rsidRPr="00FC2582" w:rsidRDefault="00D67FF7" w:rsidP="00D67FF7">
      <w:pPr>
        <w:autoSpaceDE w:val="0"/>
        <w:autoSpaceDN w:val="0"/>
        <w:adjustRightInd w:val="0"/>
        <w:jc w:val="both"/>
        <w:rPr>
          <w:rFonts w:asciiTheme="minorHAnsi" w:hAnsiTheme="minorHAnsi" w:cstheme="minorHAnsi"/>
          <w:b/>
          <w:bCs/>
          <w:color w:val="auto"/>
          <w:sz w:val="26"/>
          <w:szCs w:val="26"/>
        </w:rPr>
      </w:pPr>
      <w:r w:rsidRPr="00FC2582">
        <w:rPr>
          <w:rFonts w:asciiTheme="minorHAnsi" w:hAnsiTheme="minorHAnsi" w:cstheme="minorHAnsi"/>
          <w:b/>
          <w:bCs/>
          <w:color w:val="auto"/>
          <w:sz w:val="26"/>
          <w:szCs w:val="26"/>
        </w:rPr>
        <w:t>12. Insolvenţa transfrontalieră – aspecte jurisprudențiale:</w:t>
      </w:r>
    </w:p>
    <w:p w:rsidR="00D67FF7" w:rsidRPr="00FC2582" w:rsidRDefault="00D67FF7" w:rsidP="00D67FF7">
      <w:pPr>
        <w:autoSpaceDE w:val="0"/>
        <w:autoSpaceDN w:val="0"/>
        <w:adjustRightInd w:val="0"/>
        <w:jc w:val="both"/>
        <w:rPr>
          <w:rFonts w:asciiTheme="minorHAnsi" w:hAnsiTheme="minorHAnsi" w:cstheme="minorHAnsi"/>
          <w:bCs/>
          <w:color w:val="auto"/>
          <w:sz w:val="26"/>
          <w:szCs w:val="26"/>
        </w:rPr>
      </w:pPr>
      <w:r w:rsidRPr="00FC2582">
        <w:rPr>
          <w:rFonts w:asciiTheme="minorHAnsi" w:hAnsiTheme="minorHAnsi" w:cstheme="minorHAnsi"/>
          <w:b/>
          <w:bCs/>
          <w:color w:val="auto"/>
          <w:sz w:val="26"/>
          <w:szCs w:val="26"/>
        </w:rPr>
        <w:tab/>
      </w:r>
      <w:r w:rsidRPr="00FC2582">
        <w:rPr>
          <w:rFonts w:asciiTheme="minorHAnsi" w:hAnsiTheme="minorHAnsi" w:cstheme="minorHAnsi"/>
          <w:bCs/>
          <w:color w:val="auto"/>
          <w:sz w:val="26"/>
          <w:szCs w:val="26"/>
        </w:rPr>
        <w:t>- Regulamentul (CE) nr. 2015/848 privind procedurile de insolvenţă;</w:t>
      </w:r>
    </w:p>
    <w:p w:rsidR="00D67FF7" w:rsidRPr="00FC2582" w:rsidRDefault="00D67FF7" w:rsidP="00D67FF7">
      <w:pPr>
        <w:autoSpaceDE w:val="0"/>
        <w:autoSpaceDN w:val="0"/>
        <w:adjustRightInd w:val="0"/>
        <w:jc w:val="both"/>
        <w:rPr>
          <w:rFonts w:asciiTheme="minorHAnsi" w:hAnsiTheme="minorHAnsi" w:cstheme="minorHAnsi"/>
          <w:bCs/>
          <w:color w:val="auto"/>
          <w:sz w:val="26"/>
          <w:szCs w:val="26"/>
        </w:rPr>
      </w:pPr>
      <w:r w:rsidRPr="00FC2582">
        <w:rPr>
          <w:rFonts w:asciiTheme="minorHAnsi" w:hAnsiTheme="minorHAnsi" w:cstheme="minorHAnsi"/>
          <w:bCs/>
          <w:color w:val="auto"/>
          <w:sz w:val="26"/>
          <w:szCs w:val="26"/>
        </w:rPr>
        <w:tab/>
        <w:t>- Legea nr.85/2014 privind procedurile de prevenire a insolvenţei şi de insolvenţă;</w:t>
      </w:r>
    </w:p>
    <w:p w:rsidR="00D67FF7" w:rsidRPr="00FC2582" w:rsidRDefault="00D67FF7" w:rsidP="00D67FF7">
      <w:pPr>
        <w:autoSpaceDE w:val="0"/>
        <w:autoSpaceDN w:val="0"/>
        <w:adjustRightInd w:val="0"/>
        <w:jc w:val="both"/>
        <w:rPr>
          <w:rFonts w:asciiTheme="minorHAnsi" w:hAnsiTheme="minorHAnsi" w:cstheme="minorHAnsi"/>
          <w:bCs/>
          <w:color w:val="auto"/>
          <w:sz w:val="26"/>
          <w:szCs w:val="26"/>
        </w:rPr>
      </w:pPr>
      <w:r w:rsidRPr="00FC2582">
        <w:rPr>
          <w:rFonts w:asciiTheme="minorHAnsi" w:hAnsiTheme="minorHAnsi" w:cstheme="minorHAnsi"/>
          <w:bCs/>
          <w:color w:val="auto"/>
          <w:sz w:val="26"/>
          <w:szCs w:val="26"/>
        </w:rPr>
        <w:tab/>
        <w:t xml:space="preserve">- </w:t>
      </w:r>
      <w:r w:rsidR="0056761D" w:rsidRPr="00FC2582">
        <w:rPr>
          <w:rFonts w:asciiTheme="minorHAnsi" w:hAnsiTheme="minorHAnsi" w:cstheme="minorHAnsi"/>
          <w:bCs/>
          <w:color w:val="auto"/>
          <w:sz w:val="26"/>
          <w:szCs w:val="26"/>
        </w:rPr>
        <w:t>jurisprudență</w:t>
      </w:r>
      <w:r w:rsidRPr="00FC2582">
        <w:rPr>
          <w:rFonts w:asciiTheme="minorHAnsi" w:hAnsiTheme="minorHAnsi" w:cstheme="minorHAnsi"/>
          <w:bCs/>
          <w:color w:val="auto"/>
          <w:sz w:val="26"/>
          <w:szCs w:val="26"/>
        </w:rPr>
        <w:t xml:space="preserve"> relevantă: </w:t>
      </w:r>
      <w:proofErr w:type="spellStart"/>
      <w:r w:rsidRPr="00FC2582">
        <w:rPr>
          <w:rFonts w:asciiTheme="minorHAnsi" w:hAnsiTheme="minorHAnsi" w:cstheme="minorHAnsi"/>
          <w:bCs/>
          <w:i/>
          <w:color w:val="auto"/>
          <w:sz w:val="26"/>
          <w:szCs w:val="26"/>
        </w:rPr>
        <w:t>Eurofood</w:t>
      </w:r>
      <w:proofErr w:type="spellEnd"/>
      <w:r w:rsidRPr="00FC2582">
        <w:rPr>
          <w:rFonts w:asciiTheme="minorHAnsi" w:hAnsiTheme="minorHAnsi" w:cstheme="minorHAnsi"/>
          <w:bCs/>
          <w:color w:val="auto"/>
          <w:sz w:val="26"/>
          <w:szCs w:val="26"/>
        </w:rPr>
        <w:t xml:space="preserve">, C-341/04; </w:t>
      </w:r>
      <w:proofErr w:type="spellStart"/>
      <w:r w:rsidRPr="00FC2582">
        <w:rPr>
          <w:rFonts w:asciiTheme="minorHAnsi" w:hAnsiTheme="minorHAnsi" w:cstheme="minorHAnsi"/>
          <w:bCs/>
          <w:i/>
          <w:color w:val="auto"/>
          <w:sz w:val="26"/>
          <w:szCs w:val="26"/>
        </w:rPr>
        <w:t>Interedil</w:t>
      </w:r>
      <w:proofErr w:type="spellEnd"/>
      <w:r w:rsidRPr="00FC2582">
        <w:rPr>
          <w:rFonts w:asciiTheme="minorHAnsi" w:hAnsiTheme="minorHAnsi" w:cstheme="minorHAnsi"/>
          <w:bCs/>
          <w:color w:val="auto"/>
          <w:sz w:val="26"/>
          <w:szCs w:val="26"/>
        </w:rPr>
        <w:t xml:space="preserve">, C-396/2009; </w:t>
      </w:r>
      <w:proofErr w:type="spellStart"/>
      <w:r w:rsidRPr="00FC2582">
        <w:rPr>
          <w:rFonts w:asciiTheme="minorHAnsi" w:hAnsiTheme="minorHAnsi" w:cstheme="minorHAnsi"/>
          <w:bCs/>
          <w:i/>
          <w:color w:val="auto"/>
          <w:sz w:val="26"/>
          <w:szCs w:val="26"/>
        </w:rPr>
        <w:t>DekoMarty</w:t>
      </w:r>
      <w:proofErr w:type="spellEnd"/>
      <w:r w:rsidRPr="00FC2582">
        <w:rPr>
          <w:rFonts w:asciiTheme="minorHAnsi" w:hAnsiTheme="minorHAnsi" w:cstheme="minorHAnsi"/>
          <w:bCs/>
          <w:color w:val="auto"/>
          <w:sz w:val="26"/>
          <w:szCs w:val="26"/>
        </w:rPr>
        <w:t xml:space="preserve">, C-339/07; </w:t>
      </w:r>
      <w:r w:rsidRPr="00FC2582">
        <w:rPr>
          <w:rFonts w:asciiTheme="minorHAnsi" w:hAnsiTheme="minorHAnsi" w:cstheme="minorHAnsi"/>
          <w:bCs/>
          <w:i/>
          <w:color w:val="auto"/>
          <w:sz w:val="26"/>
          <w:szCs w:val="26"/>
        </w:rPr>
        <w:t>Claes și alții</w:t>
      </w:r>
      <w:r w:rsidRPr="00FC2582">
        <w:rPr>
          <w:rFonts w:asciiTheme="minorHAnsi" w:hAnsiTheme="minorHAnsi" w:cstheme="minorHAnsi"/>
          <w:bCs/>
          <w:color w:val="auto"/>
          <w:sz w:val="26"/>
          <w:szCs w:val="26"/>
        </w:rPr>
        <w:t xml:space="preserve">, C-235/10, C-239/10; </w:t>
      </w:r>
      <w:proofErr w:type="spellStart"/>
      <w:r w:rsidRPr="00FC2582">
        <w:rPr>
          <w:rFonts w:asciiTheme="minorHAnsi" w:hAnsiTheme="minorHAnsi" w:cstheme="minorHAnsi"/>
          <w:bCs/>
          <w:i/>
          <w:color w:val="auto"/>
          <w:sz w:val="26"/>
          <w:szCs w:val="26"/>
        </w:rPr>
        <w:t>Frukona</w:t>
      </w:r>
      <w:proofErr w:type="spellEnd"/>
      <w:r w:rsidRPr="00FC2582">
        <w:rPr>
          <w:rFonts w:asciiTheme="minorHAnsi" w:hAnsiTheme="minorHAnsi" w:cstheme="minorHAnsi"/>
          <w:bCs/>
          <w:i/>
          <w:color w:val="auto"/>
          <w:sz w:val="26"/>
          <w:szCs w:val="26"/>
        </w:rPr>
        <w:t xml:space="preserve"> Kosice</w:t>
      </w:r>
      <w:r w:rsidRPr="00FC2582">
        <w:rPr>
          <w:rFonts w:asciiTheme="minorHAnsi" w:hAnsiTheme="minorHAnsi" w:cstheme="minorHAnsi"/>
          <w:bCs/>
          <w:color w:val="auto"/>
          <w:sz w:val="26"/>
          <w:szCs w:val="26"/>
        </w:rPr>
        <w:t>, C-73/11P; Încheierea nr. 281/F/CC/2014 pronunțată de Tribunalul Alba, Secția de Contencios Administrativ, Fiscal și Insolvență, dosar nr. 4036/107/2014, publicată în BPI.</w:t>
      </w:r>
    </w:p>
    <w:p w:rsidR="00D67FF7" w:rsidRDefault="00D67FF7" w:rsidP="00D67FF7">
      <w:pPr>
        <w:autoSpaceDE w:val="0"/>
        <w:autoSpaceDN w:val="0"/>
        <w:adjustRightInd w:val="0"/>
        <w:jc w:val="both"/>
        <w:rPr>
          <w:rFonts w:asciiTheme="minorHAnsi" w:hAnsiTheme="minorHAnsi" w:cstheme="minorHAnsi"/>
          <w:bCs/>
          <w:color w:val="auto"/>
          <w:sz w:val="26"/>
          <w:szCs w:val="26"/>
        </w:rPr>
      </w:pPr>
    </w:p>
    <w:p w:rsidR="005F62E4" w:rsidRDefault="005F62E4" w:rsidP="00D67FF7">
      <w:pPr>
        <w:autoSpaceDE w:val="0"/>
        <w:autoSpaceDN w:val="0"/>
        <w:adjustRightInd w:val="0"/>
        <w:jc w:val="both"/>
        <w:rPr>
          <w:rFonts w:asciiTheme="minorHAnsi" w:hAnsiTheme="minorHAnsi" w:cstheme="minorHAnsi"/>
          <w:bCs/>
          <w:color w:val="auto"/>
          <w:sz w:val="26"/>
          <w:szCs w:val="26"/>
        </w:rPr>
      </w:pPr>
    </w:p>
    <w:p w:rsidR="005F62E4" w:rsidRDefault="005F62E4" w:rsidP="00D67FF7">
      <w:pPr>
        <w:autoSpaceDE w:val="0"/>
        <w:autoSpaceDN w:val="0"/>
        <w:adjustRightInd w:val="0"/>
        <w:jc w:val="both"/>
        <w:rPr>
          <w:rFonts w:asciiTheme="minorHAnsi" w:hAnsiTheme="minorHAnsi" w:cstheme="minorHAnsi"/>
          <w:bCs/>
          <w:color w:val="auto"/>
          <w:sz w:val="26"/>
          <w:szCs w:val="26"/>
        </w:rPr>
      </w:pPr>
    </w:p>
    <w:p w:rsidR="005F62E4" w:rsidRDefault="005F62E4" w:rsidP="00D67FF7">
      <w:pPr>
        <w:autoSpaceDE w:val="0"/>
        <w:autoSpaceDN w:val="0"/>
        <w:adjustRightInd w:val="0"/>
        <w:jc w:val="both"/>
        <w:rPr>
          <w:rFonts w:asciiTheme="minorHAnsi" w:hAnsiTheme="minorHAnsi" w:cstheme="minorHAnsi"/>
          <w:bCs/>
          <w:color w:val="auto"/>
          <w:sz w:val="26"/>
          <w:szCs w:val="26"/>
        </w:rPr>
      </w:pPr>
    </w:p>
    <w:p w:rsidR="005F62E4" w:rsidRPr="00FC2582" w:rsidRDefault="005F62E4" w:rsidP="00D67FF7">
      <w:pPr>
        <w:autoSpaceDE w:val="0"/>
        <w:autoSpaceDN w:val="0"/>
        <w:adjustRightInd w:val="0"/>
        <w:jc w:val="both"/>
        <w:rPr>
          <w:rFonts w:asciiTheme="minorHAnsi" w:hAnsiTheme="minorHAnsi" w:cstheme="minorHAnsi"/>
          <w:bCs/>
          <w:color w:val="auto"/>
          <w:sz w:val="26"/>
          <w:szCs w:val="26"/>
        </w:rPr>
      </w:pPr>
    </w:p>
    <w:p w:rsidR="00D67FF7" w:rsidRPr="00FC2582" w:rsidRDefault="00D67FF7" w:rsidP="00D67FF7">
      <w:pPr>
        <w:autoSpaceDE w:val="0"/>
        <w:autoSpaceDN w:val="0"/>
        <w:adjustRightInd w:val="0"/>
        <w:jc w:val="center"/>
        <w:rPr>
          <w:rFonts w:asciiTheme="minorHAnsi" w:hAnsiTheme="minorHAnsi" w:cstheme="minorHAnsi"/>
          <w:b/>
          <w:color w:val="auto"/>
          <w:sz w:val="26"/>
          <w:szCs w:val="26"/>
        </w:rPr>
      </w:pPr>
      <w:r w:rsidRPr="00FC2582">
        <w:rPr>
          <w:rFonts w:asciiTheme="minorHAnsi" w:hAnsiTheme="minorHAnsi" w:cstheme="minorHAnsi"/>
          <w:b/>
          <w:color w:val="auto"/>
          <w:sz w:val="26"/>
          <w:szCs w:val="26"/>
        </w:rPr>
        <w:t>- BIBLIOGRAFIE -</w:t>
      </w:r>
    </w:p>
    <w:p w:rsidR="00D67FF7" w:rsidRPr="00FC2582" w:rsidRDefault="00D67FF7" w:rsidP="00D67FF7">
      <w:pPr>
        <w:autoSpaceDE w:val="0"/>
        <w:autoSpaceDN w:val="0"/>
        <w:adjustRightInd w:val="0"/>
        <w:jc w:val="both"/>
        <w:rPr>
          <w:rFonts w:asciiTheme="minorHAnsi" w:hAnsiTheme="minorHAnsi" w:cstheme="minorHAnsi"/>
          <w:b/>
          <w:color w:val="auto"/>
          <w:sz w:val="26"/>
          <w:szCs w:val="26"/>
        </w:rPr>
      </w:pPr>
    </w:p>
    <w:p w:rsidR="00D67FF7" w:rsidRPr="00FC2582" w:rsidRDefault="00D67FF7" w:rsidP="00D67FF7">
      <w:pPr>
        <w:autoSpaceDE w:val="0"/>
        <w:autoSpaceDN w:val="0"/>
        <w:adjustRightInd w:val="0"/>
        <w:jc w:val="both"/>
        <w:rPr>
          <w:rFonts w:asciiTheme="minorHAnsi" w:hAnsiTheme="minorHAnsi" w:cstheme="minorHAnsi"/>
          <w:color w:val="auto"/>
          <w:sz w:val="26"/>
          <w:szCs w:val="26"/>
          <w:u w:val="single"/>
        </w:rPr>
      </w:pPr>
      <w:r w:rsidRPr="00FC2582">
        <w:rPr>
          <w:rFonts w:asciiTheme="minorHAnsi" w:hAnsiTheme="minorHAnsi" w:cstheme="minorHAnsi"/>
          <w:color w:val="auto"/>
          <w:sz w:val="26"/>
          <w:szCs w:val="26"/>
          <w:u w:val="single"/>
        </w:rPr>
        <w:t>Doctrină:</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r w:rsidRPr="00FC2582">
        <w:rPr>
          <w:rFonts w:asciiTheme="minorHAnsi" w:hAnsiTheme="minorHAnsi" w:cstheme="minorHAnsi"/>
          <w:b/>
          <w:color w:val="auto"/>
          <w:sz w:val="26"/>
          <w:szCs w:val="26"/>
        </w:rPr>
        <w:t>Craig, Paul;</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 xml:space="preserve">de </w:t>
      </w:r>
      <w:proofErr w:type="spellStart"/>
      <w:r w:rsidRPr="00FC2582">
        <w:rPr>
          <w:rFonts w:asciiTheme="minorHAnsi" w:hAnsiTheme="minorHAnsi" w:cstheme="minorHAnsi"/>
          <w:b/>
          <w:color w:val="auto"/>
          <w:sz w:val="26"/>
          <w:szCs w:val="26"/>
        </w:rPr>
        <w:t>Búrca</w:t>
      </w:r>
      <w:proofErr w:type="spellEnd"/>
      <w:r w:rsidRPr="00FC2582">
        <w:rPr>
          <w:rFonts w:asciiTheme="minorHAnsi" w:hAnsiTheme="minorHAnsi" w:cstheme="minorHAnsi"/>
          <w:b/>
          <w:color w:val="auto"/>
          <w:sz w:val="26"/>
          <w:szCs w:val="26"/>
        </w:rPr>
        <w:t xml:space="preserve">, </w:t>
      </w:r>
      <w:proofErr w:type="spellStart"/>
      <w:r w:rsidRPr="00FC2582">
        <w:rPr>
          <w:rFonts w:asciiTheme="minorHAnsi" w:hAnsiTheme="minorHAnsi" w:cstheme="minorHAnsi"/>
          <w:b/>
          <w:color w:val="auto"/>
          <w:sz w:val="26"/>
          <w:szCs w:val="26"/>
        </w:rPr>
        <w:t>Gráinne</w:t>
      </w:r>
      <w:proofErr w:type="spellEnd"/>
      <w:r w:rsidRPr="00FC2582">
        <w:rPr>
          <w:rFonts w:asciiTheme="minorHAnsi" w:hAnsiTheme="minorHAnsi" w:cstheme="minorHAnsi"/>
          <w:b/>
          <w:color w:val="auto"/>
          <w:sz w:val="26"/>
          <w:szCs w:val="26"/>
        </w:rPr>
        <w:t xml:space="preserve">, </w:t>
      </w:r>
      <w:r w:rsidRPr="00FC2582">
        <w:rPr>
          <w:rFonts w:asciiTheme="minorHAnsi" w:hAnsiTheme="minorHAnsi" w:cstheme="minorHAnsi"/>
          <w:color w:val="auto"/>
          <w:sz w:val="26"/>
          <w:szCs w:val="26"/>
        </w:rPr>
        <w:t>„</w:t>
      </w:r>
      <w:r w:rsidRPr="00FC2582">
        <w:rPr>
          <w:rFonts w:asciiTheme="minorHAnsi" w:hAnsiTheme="minorHAnsi" w:cstheme="minorHAnsi"/>
          <w:i/>
          <w:color w:val="auto"/>
          <w:sz w:val="26"/>
          <w:szCs w:val="26"/>
        </w:rPr>
        <w:t xml:space="preserve">Dreptul Uniunii Europene. Comentarii, jurisprudenţă şi doctrină”, </w:t>
      </w:r>
      <w:r w:rsidRPr="00FC2582">
        <w:rPr>
          <w:rFonts w:asciiTheme="minorHAnsi" w:hAnsiTheme="minorHAnsi" w:cstheme="minorHAnsi"/>
          <w:color w:val="auto"/>
          <w:sz w:val="26"/>
          <w:szCs w:val="26"/>
        </w:rPr>
        <w:t>ediţia a VI-a, Editura Hamangiu, Bucureşti, 2017;</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i/>
          <w:color w:val="auto"/>
          <w:sz w:val="26"/>
          <w:szCs w:val="26"/>
        </w:rPr>
      </w:pPr>
      <w:proofErr w:type="spellStart"/>
      <w:r w:rsidRPr="00FC2582">
        <w:rPr>
          <w:rFonts w:asciiTheme="minorHAnsi" w:hAnsiTheme="minorHAnsi" w:cstheme="minorHAnsi"/>
          <w:b/>
          <w:color w:val="auto"/>
          <w:sz w:val="26"/>
          <w:szCs w:val="26"/>
        </w:rPr>
        <w:t>Dumitraşcu</w:t>
      </w:r>
      <w:proofErr w:type="spellEnd"/>
      <w:r w:rsidRPr="00FC2582">
        <w:rPr>
          <w:rFonts w:asciiTheme="minorHAnsi" w:hAnsiTheme="minorHAnsi" w:cstheme="minorHAnsi"/>
          <w:b/>
          <w:color w:val="auto"/>
          <w:sz w:val="26"/>
          <w:szCs w:val="26"/>
        </w:rPr>
        <w:t xml:space="preserve">, Mihaela-Augustina, </w:t>
      </w:r>
      <w:r w:rsidRPr="00FC2582">
        <w:rPr>
          <w:rFonts w:asciiTheme="minorHAnsi" w:hAnsiTheme="minorHAnsi" w:cstheme="minorHAnsi"/>
          <w:i/>
          <w:color w:val="auto"/>
          <w:sz w:val="26"/>
          <w:szCs w:val="26"/>
        </w:rPr>
        <w:t xml:space="preserve">„Dreptul Uniunii Europene şi specificitatea acestuia”, </w:t>
      </w:r>
      <w:r w:rsidRPr="00FC2582">
        <w:rPr>
          <w:rFonts w:asciiTheme="minorHAnsi" w:hAnsiTheme="minorHAnsi" w:cstheme="minorHAnsi"/>
          <w:color w:val="auto"/>
          <w:sz w:val="26"/>
          <w:szCs w:val="26"/>
        </w:rPr>
        <w:t>Editura Universul Juridic, Bucureşti, 2012;</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proofErr w:type="spellStart"/>
      <w:r w:rsidRPr="00FC2582">
        <w:rPr>
          <w:rFonts w:asciiTheme="minorHAnsi" w:hAnsiTheme="minorHAnsi" w:cstheme="minorHAnsi"/>
          <w:b/>
          <w:bCs/>
          <w:color w:val="auto"/>
          <w:sz w:val="26"/>
          <w:szCs w:val="26"/>
        </w:rPr>
        <w:t>Favret</w:t>
      </w:r>
      <w:proofErr w:type="spellEnd"/>
      <w:r w:rsidRPr="00FC2582">
        <w:rPr>
          <w:rFonts w:asciiTheme="minorHAnsi" w:hAnsiTheme="minorHAnsi" w:cstheme="minorHAnsi"/>
          <w:b/>
          <w:bCs/>
          <w:color w:val="auto"/>
          <w:sz w:val="26"/>
          <w:szCs w:val="26"/>
        </w:rPr>
        <w:t>, Jean-Marc</w:t>
      </w:r>
      <w:r w:rsidRPr="00FC2582">
        <w:rPr>
          <w:rFonts w:asciiTheme="minorHAnsi" w:hAnsiTheme="minorHAnsi" w:cstheme="minorHAnsi"/>
          <w:bCs/>
          <w:color w:val="auto"/>
          <w:sz w:val="26"/>
          <w:szCs w:val="26"/>
        </w:rPr>
        <w:t>, „</w:t>
      </w:r>
      <w:proofErr w:type="spellStart"/>
      <w:r w:rsidRPr="00FC2582">
        <w:rPr>
          <w:rFonts w:asciiTheme="minorHAnsi" w:hAnsiTheme="minorHAnsi" w:cstheme="minorHAnsi"/>
          <w:bCs/>
          <w:i/>
          <w:iCs/>
          <w:color w:val="auto"/>
          <w:sz w:val="26"/>
          <w:szCs w:val="26"/>
        </w:rPr>
        <w:t>Droit</w:t>
      </w:r>
      <w:proofErr w:type="spellEnd"/>
      <w:r w:rsidRPr="00FC2582">
        <w:rPr>
          <w:rFonts w:asciiTheme="minorHAnsi" w:hAnsiTheme="minorHAnsi" w:cstheme="minorHAnsi"/>
          <w:bCs/>
          <w:i/>
          <w:iCs/>
          <w:color w:val="auto"/>
          <w:sz w:val="26"/>
          <w:szCs w:val="26"/>
        </w:rPr>
        <w:t xml:space="preserve"> </w:t>
      </w:r>
      <w:proofErr w:type="spellStart"/>
      <w:r w:rsidRPr="00FC2582">
        <w:rPr>
          <w:rFonts w:asciiTheme="minorHAnsi" w:hAnsiTheme="minorHAnsi" w:cstheme="minorHAnsi"/>
          <w:bCs/>
          <w:i/>
          <w:iCs/>
          <w:color w:val="auto"/>
          <w:sz w:val="26"/>
          <w:szCs w:val="26"/>
        </w:rPr>
        <w:t>communautaire</w:t>
      </w:r>
      <w:proofErr w:type="spellEnd"/>
      <w:r w:rsidRPr="00FC2582">
        <w:rPr>
          <w:rFonts w:asciiTheme="minorHAnsi" w:hAnsiTheme="minorHAnsi" w:cstheme="minorHAnsi"/>
          <w:bCs/>
          <w:i/>
          <w:iCs/>
          <w:color w:val="auto"/>
          <w:sz w:val="26"/>
          <w:szCs w:val="26"/>
        </w:rPr>
        <w:t xml:space="preserve"> du </w:t>
      </w:r>
      <w:proofErr w:type="spellStart"/>
      <w:r w:rsidRPr="00FC2582">
        <w:rPr>
          <w:rFonts w:asciiTheme="minorHAnsi" w:hAnsiTheme="minorHAnsi" w:cstheme="minorHAnsi"/>
          <w:bCs/>
          <w:i/>
          <w:iCs/>
          <w:color w:val="auto"/>
          <w:sz w:val="26"/>
          <w:szCs w:val="26"/>
        </w:rPr>
        <w:t>marché</w:t>
      </w:r>
      <w:proofErr w:type="spellEnd"/>
      <w:r w:rsidRPr="00FC2582">
        <w:rPr>
          <w:rFonts w:asciiTheme="minorHAnsi" w:hAnsiTheme="minorHAnsi" w:cstheme="minorHAnsi"/>
          <w:bCs/>
          <w:i/>
          <w:iCs/>
          <w:color w:val="auto"/>
          <w:sz w:val="26"/>
          <w:szCs w:val="26"/>
        </w:rPr>
        <w:t xml:space="preserve"> </w:t>
      </w:r>
      <w:proofErr w:type="spellStart"/>
      <w:r w:rsidRPr="00FC2582">
        <w:rPr>
          <w:rFonts w:asciiTheme="minorHAnsi" w:hAnsiTheme="minorHAnsi" w:cstheme="minorHAnsi"/>
          <w:bCs/>
          <w:i/>
          <w:iCs/>
          <w:color w:val="auto"/>
          <w:sz w:val="26"/>
          <w:szCs w:val="26"/>
        </w:rPr>
        <w:t>intérieur</w:t>
      </w:r>
      <w:proofErr w:type="spellEnd"/>
      <w:r w:rsidRPr="00FC2582">
        <w:rPr>
          <w:rFonts w:asciiTheme="minorHAnsi" w:hAnsiTheme="minorHAnsi" w:cstheme="minorHAnsi"/>
          <w:bCs/>
          <w:color w:val="auto"/>
          <w:sz w:val="26"/>
          <w:szCs w:val="26"/>
        </w:rPr>
        <w:t>”, 6</w:t>
      </w:r>
      <w:r w:rsidRPr="00FC2582">
        <w:rPr>
          <w:rFonts w:asciiTheme="minorHAnsi" w:hAnsiTheme="minorHAnsi" w:cstheme="minorHAnsi"/>
          <w:bCs/>
          <w:color w:val="auto"/>
          <w:sz w:val="26"/>
          <w:szCs w:val="26"/>
          <w:vertAlign w:val="superscript"/>
        </w:rPr>
        <w:t>e</w:t>
      </w:r>
      <w:r w:rsidRPr="00FC2582">
        <w:rPr>
          <w:rFonts w:asciiTheme="minorHAnsi" w:hAnsiTheme="minorHAnsi" w:cstheme="minorHAnsi"/>
          <w:bCs/>
          <w:color w:val="auto"/>
          <w:sz w:val="26"/>
          <w:szCs w:val="26"/>
        </w:rPr>
        <w:t xml:space="preserve"> </w:t>
      </w:r>
      <w:proofErr w:type="spellStart"/>
      <w:r w:rsidRPr="00FC2582">
        <w:rPr>
          <w:rFonts w:asciiTheme="minorHAnsi" w:hAnsiTheme="minorHAnsi" w:cstheme="minorHAnsi"/>
          <w:bCs/>
          <w:color w:val="auto"/>
          <w:sz w:val="26"/>
          <w:szCs w:val="26"/>
        </w:rPr>
        <w:t>édition</w:t>
      </w:r>
      <w:proofErr w:type="spellEnd"/>
      <w:r w:rsidRPr="00FC2582">
        <w:rPr>
          <w:rFonts w:asciiTheme="minorHAnsi" w:hAnsiTheme="minorHAnsi" w:cstheme="minorHAnsi"/>
          <w:bCs/>
          <w:color w:val="auto"/>
          <w:sz w:val="26"/>
          <w:szCs w:val="26"/>
        </w:rPr>
        <w:t xml:space="preserve">, </w:t>
      </w:r>
      <w:proofErr w:type="spellStart"/>
      <w:r w:rsidRPr="00FC2582">
        <w:rPr>
          <w:rFonts w:asciiTheme="minorHAnsi" w:hAnsiTheme="minorHAnsi" w:cstheme="minorHAnsi"/>
          <w:bCs/>
          <w:color w:val="auto"/>
          <w:sz w:val="26"/>
          <w:szCs w:val="26"/>
        </w:rPr>
        <w:t>Gualino</w:t>
      </w:r>
      <w:proofErr w:type="spellEnd"/>
      <w:r w:rsidRPr="00FC2582">
        <w:rPr>
          <w:rFonts w:asciiTheme="minorHAnsi" w:hAnsiTheme="minorHAnsi" w:cstheme="minorHAnsi"/>
          <w:bCs/>
          <w:color w:val="auto"/>
          <w:sz w:val="26"/>
          <w:szCs w:val="26"/>
        </w:rPr>
        <w:t xml:space="preserve"> </w:t>
      </w:r>
      <w:proofErr w:type="spellStart"/>
      <w:r w:rsidRPr="00FC2582">
        <w:rPr>
          <w:rFonts w:asciiTheme="minorHAnsi" w:hAnsiTheme="minorHAnsi" w:cstheme="minorHAnsi"/>
          <w:bCs/>
          <w:color w:val="auto"/>
          <w:sz w:val="26"/>
          <w:szCs w:val="26"/>
        </w:rPr>
        <w:t>Éditeur</w:t>
      </w:r>
      <w:proofErr w:type="spellEnd"/>
      <w:r w:rsidRPr="00FC2582">
        <w:rPr>
          <w:rFonts w:asciiTheme="minorHAnsi" w:hAnsiTheme="minorHAnsi" w:cstheme="minorHAnsi"/>
          <w:bCs/>
          <w:color w:val="auto"/>
          <w:sz w:val="26"/>
          <w:szCs w:val="26"/>
        </w:rPr>
        <w:t>, Paris, 2009;</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proofErr w:type="spellStart"/>
      <w:r w:rsidRPr="00FC2582">
        <w:rPr>
          <w:rFonts w:asciiTheme="minorHAnsi" w:hAnsiTheme="minorHAnsi" w:cstheme="minorHAnsi"/>
          <w:b/>
          <w:color w:val="auto"/>
          <w:sz w:val="26"/>
          <w:szCs w:val="26"/>
        </w:rPr>
        <w:t>Ferréol</w:t>
      </w:r>
      <w:proofErr w:type="spellEnd"/>
      <w:r w:rsidRPr="00FC2582">
        <w:rPr>
          <w:rFonts w:asciiTheme="minorHAnsi" w:hAnsiTheme="minorHAnsi" w:cstheme="minorHAnsi"/>
          <w:b/>
          <w:color w:val="auto"/>
          <w:sz w:val="26"/>
          <w:szCs w:val="26"/>
        </w:rPr>
        <w:t>, Gilles</w:t>
      </w:r>
      <w:r w:rsidRPr="00FC2582">
        <w:rPr>
          <w:rFonts w:asciiTheme="minorHAnsi" w:hAnsiTheme="minorHAnsi" w:cstheme="minorHAnsi"/>
          <w:color w:val="auto"/>
          <w:sz w:val="26"/>
          <w:szCs w:val="26"/>
        </w:rPr>
        <w:t>, „</w:t>
      </w:r>
      <w:proofErr w:type="spellStart"/>
      <w:r w:rsidRPr="00FC2582">
        <w:rPr>
          <w:rFonts w:asciiTheme="minorHAnsi" w:hAnsiTheme="minorHAnsi" w:cstheme="minorHAnsi"/>
          <w:i/>
          <w:color w:val="auto"/>
          <w:sz w:val="26"/>
          <w:szCs w:val="26"/>
        </w:rPr>
        <w:t>Dicţionarul</w:t>
      </w:r>
      <w:proofErr w:type="spellEnd"/>
      <w:r w:rsidRPr="00FC2582">
        <w:rPr>
          <w:rFonts w:asciiTheme="minorHAnsi" w:hAnsiTheme="minorHAnsi" w:cstheme="minorHAnsi"/>
          <w:i/>
          <w:color w:val="auto"/>
          <w:sz w:val="26"/>
          <w:szCs w:val="26"/>
        </w:rPr>
        <w:t xml:space="preserve"> Uniunii Europene</w:t>
      </w:r>
      <w:r w:rsidRPr="00FC2582">
        <w:rPr>
          <w:rFonts w:asciiTheme="minorHAnsi" w:hAnsiTheme="minorHAnsi" w:cstheme="minorHAnsi"/>
          <w:color w:val="auto"/>
          <w:sz w:val="26"/>
          <w:szCs w:val="26"/>
        </w:rPr>
        <w:t>”, Ed. Polirom, Iaşi, 2001;</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proofErr w:type="spellStart"/>
      <w:r w:rsidRPr="00FC2582">
        <w:rPr>
          <w:rFonts w:asciiTheme="minorHAnsi" w:hAnsiTheme="minorHAnsi" w:cstheme="minorHAnsi"/>
          <w:b/>
          <w:bCs/>
          <w:color w:val="auto"/>
          <w:sz w:val="26"/>
          <w:szCs w:val="26"/>
        </w:rPr>
        <w:t>Fuerea</w:t>
      </w:r>
      <w:proofErr w:type="spellEnd"/>
      <w:r w:rsidRPr="00FC2582">
        <w:rPr>
          <w:rFonts w:asciiTheme="minorHAnsi" w:hAnsiTheme="minorHAnsi" w:cstheme="minorHAnsi"/>
          <w:b/>
          <w:bCs/>
          <w:color w:val="auto"/>
          <w:sz w:val="26"/>
          <w:szCs w:val="26"/>
        </w:rPr>
        <w:t xml:space="preserve">, Augustin, </w:t>
      </w:r>
      <w:r w:rsidRPr="00FC2582">
        <w:rPr>
          <w:rFonts w:asciiTheme="minorHAnsi" w:hAnsiTheme="minorHAnsi" w:cstheme="minorHAnsi"/>
          <w:bCs/>
          <w:color w:val="auto"/>
          <w:sz w:val="26"/>
          <w:szCs w:val="26"/>
        </w:rPr>
        <w:t>„</w:t>
      </w:r>
      <w:r w:rsidRPr="00FC2582">
        <w:rPr>
          <w:rFonts w:asciiTheme="minorHAnsi" w:hAnsiTheme="minorHAnsi" w:cstheme="minorHAnsi"/>
          <w:bCs/>
          <w:i/>
          <w:color w:val="auto"/>
          <w:sz w:val="26"/>
          <w:szCs w:val="26"/>
        </w:rPr>
        <w:t xml:space="preserve">Dreptul Uniunii Europene. Principii, acțiuni, libertăți”, </w:t>
      </w:r>
      <w:r w:rsidRPr="00FC2582">
        <w:rPr>
          <w:rFonts w:asciiTheme="minorHAnsi" w:hAnsiTheme="minorHAnsi" w:cstheme="minorHAnsi"/>
          <w:bCs/>
          <w:color w:val="auto"/>
          <w:sz w:val="26"/>
          <w:szCs w:val="26"/>
        </w:rPr>
        <w:t>Editura Universul Juridic, Bucureşti, 2016;</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proofErr w:type="spellStart"/>
      <w:r w:rsidRPr="00FC2582">
        <w:rPr>
          <w:rFonts w:asciiTheme="minorHAnsi" w:hAnsiTheme="minorHAnsi" w:cstheme="minorHAnsi"/>
          <w:b/>
          <w:bCs/>
          <w:color w:val="auto"/>
          <w:sz w:val="26"/>
          <w:szCs w:val="26"/>
        </w:rPr>
        <w:t>Fuerea</w:t>
      </w:r>
      <w:proofErr w:type="spellEnd"/>
      <w:r w:rsidRPr="00FC2582">
        <w:rPr>
          <w:rFonts w:asciiTheme="minorHAnsi" w:hAnsiTheme="minorHAnsi" w:cstheme="minorHAnsi"/>
          <w:b/>
          <w:bCs/>
          <w:color w:val="auto"/>
          <w:sz w:val="26"/>
          <w:szCs w:val="26"/>
        </w:rPr>
        <w:t>, Augustin</w:t>
      </w:r>
      <w:r w:rsidRPr="00FC2582">
        <w:rPr>
          <w:rFonts w:asciiTheme="minorHAnsi" w:hAnsiTheme="minorHAnsi" w:cstheme="minorHAnsi"/>
          <w:color w:val="auto"/>
          <w:sz w:val="26"/>
          <w:szCs w:val="26"/>
        </w:rPr>
        <w:t>, „</w:t>
      </w:r>
      <w:r w:rsidRPr="00FC2582">
        <w:rPr>
          <w:rFonts w:asciiTheme="minorHAnsi" w:hAnsiTheme="minorHAnsi" w:cstheme="minorHAnsi"/>
          <w:i/>
          <w:color w:val="auto"/>
          <w:sz w:val="26"/>
          <w:szCs w:val="26"/>
        </w:rPr>
        <w:t>Manualul Uniunii Europene</w:t>
      </w:r>
      <w:r w:rsidRPr="00FC2582">
        <w:rPr>
          <w:rFonts w:asciiTheme="minorHAnsi" w:hAnsiTheme="minorHAnsi" w:cstheme="minorHAnsi"/>
          <w:color w:val="auto"/>
          <w:sz w:val="26"/>
          <w:szCs w:val="26"/>
        </w:rPr>
        <w:t>”, ediţia a VI-a, revăzută şi adăugită, Editura Universul Juridic, Bucureşti, 2016;</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proofErr w:type="spellStart"/>
      <w:r w:rsidRPr="00FC2582">
        <w:rPr>
          <w:rFonts w:asciiTheme="minorHAnsi" w:hAnsiTheme="minorHAnsi" w:cstheme="minorHAnsi"/>
          <w:b/>
          <w:color w:val="auto"/>
          <w:sz w:val="26"/>
          <w:szCs w:val="26"/>
        </w:rPr>
        <w:t>Gavalda</w:t>
      </w:r>
      <w:proofErr w:type="spellEnd"/>
      <w:r w:rsidRPr="00FC2582">
        <w:rPr>
          <w:rFonts w:asciiTheme="minorHAnsi" w:hAnsiTheme="minorHAnsi" w:cstheme="minorHAnsi"/>
          <w:b/>
          <w:color w:val="auto"/>
          <w:sz w:val="26"/>
          <w:szCs w:val="26"/>
        </w:rPr>
        <w:t xml:space="preserve">, Cristian; </w:t>
      </w:r>
      <w:proofErr w:type="spellStart"/>
      <w:r w:rsidRPr="00FC2582">
        <w:rPr>
          <w:rFonts w:asciiTheme="minorHAnsi" w:hAnsiTheme="minorHAnsi" w:cstheme="minorHAnsi"/>
          <w:b/>
          <w:color w:val="auto"/>
          <w:sz w:val="26"/>
          <w:szCs w:val="26"/>
        </w:rPr>
        <w:t>Parleani</w:t>
      </w:r>
      <w:proofErr w:type="spellEnd"/>
      <w:r w:rsidRPr="00FC2582">
        <w:rPr>
          <w:rFonts w:asciiTheme="minorHAnsi" w:hAnsiTheme="minorHAnsi" w:cstheme="minorHAnsi"/>
          <w:b/>
          <w:color w:val="auto"/>
          <w:sz w:val="26"/>
          <w:szCs w:val="26"/>
        </w:rPr>
        <w:t>, Gilbert,</w:t>
      </w:r>
      <w:r w:rsidRPr="00FC2582">
        <w:rPr>
          <w:rFonts w:asciiTheme="minorHAnsi" w:hAnsiTheme="minorHAnsi" w:cstheme="minorHAnsi"/>
          <w:b/>
          <w:i/>
          <w:iCs/>
          <w:color w:val="auto"/>
          <w:sz w:val="26"/>
          <w:szCs w:val="26"/>
        </w:rPr>
        <w:t xml:space="preserve"> </w:t>
      </w:r>
      <w:r w:rsidRPr="00FC2582">
        <w:rPr>
          <w:rFonts w:asciiTheme="minorHAnsi" w:hAnsiTheme="minorHAnsi" w:cstheme="minorHAnsi"/>
          <w:color w:val="auto"/>
          <w:sz w:val="26"/>
          <w:szCs w:val="26"/>
        </w:rPr>
        <w:t>„</w:t>
      </w:r>
      <w:proofErr w:type="spellStart"/>
      <w:r w:rsidRPr="00FC2582">
        <w:rPr>
          <w:rFonts w:asciiTheme="minorHAnsi" w:hAnsiTheme="minorHAnsi" w:cstheme="minorHAnsi"/>
          <w:i/>
          <w:iCs/>
          <w:color w:val="auto"/>
          <w:sz w:val="26"/>
          <w:szCs w:val="26"/>
        </w:rPr>
        <w:t>Droit</w:t>
      </w:r>
      <w:proofErr w:type="spellEnd"/>
      <w:r w:rsidRPr="00FC2582">
        <w:rPr>
          <w:rFonts w:asciiTheme="minorHAnsi" w:hAnsiTheme="minorHAnsi" w:cstheme="minorHAnsi"/>
          <w:i/>
          <w:iCs/>
          <w:color w:val="auto"/>
          <w:sz w:val="26"/>
          <w:szCs w:val="26"/>
        </w:rPr>
        <w:t xml:space="preserve"> des </w:t>
      </w:r>
      <w:proofErr w:type="spellStart"/>
      <w:r w:rsidRPr="00FC2582">
        <w:rPr>
          <w:rFonts w:asciiTheme="minorHAnsi" w:hAnsiTheme="minorHAnsi" w:cstheme="minorHAnsi"/>
          <w:i/>
          <w:iCs/>
          <w:color w:val="auto"/>
          <w:sz w:val="26"/>
          <w:szCs w:val="26"/>
        </w:rPr>
        <w:t>affaires</w:t>
      </w:r>
      <w:proofErr w:type="spellEnd"/>
      <w:r w:rsidRPr="00FC2582">
        <w:rPr>
          <w:rFonts w:asciiTheme="minorHAnsi" w:hAnsiTheme="minorHAnsi" w:cstheme="minorHAnsi"/>
          <w:i/>
          <w:iCs/>
          <w:color w:val="auto"/>
          <w:sz w:val="26"/>
          <w:szCs w:val="26"/>
        </w:rPr>
        <w:t xml:space="preserve"> de </w:t>
      </w:r>
      <w:proofErr w:type="spellStart"/>
      <w:r w:rsidRPr="00FC2582">
        <w:rPr>
          <w:rFonts w:asciiTheme="minorHAnsi" w:hAnsiTheme="minorHAnsi" w:cstheme="minorHAnsi"/>
          <w:i/>
          <w:iCs/>
          <w:color w:val="auto"/>
          <w:sz w:val="26"/>
          <w:szCs w:val="26"/>
        </w:rPr>
        <w:t>l`Union</w:t>
      </w:r>
      <w:proofErr w:type="spellEnd"/>
      <w:r w:rsidRPr="00FC2582">
        <w:rPr>
          <w:rFonts w:asciiTheme="minorHAnsi" w:hAnsiTheme="minorHAnsi" w:cstheme="minorHAnsi"/>
          <w:i/>
          <w:iCs/>
          <w:color w:val="auto"/>
          <w:sz w:val="26"/>
          <w:szCs w:val="26"/>
        </w:rPr>
        <w:t xml:space="preserve"> </w:t>
      </w:r>
      <w:proofErr w:type="spellStart"/>
      <w:r w:rsidRPr="00FC2582">
        <w:rPr>
          <w:rFonts w:asciiTheme="minorHAnsi" w:hAnsiTheme="minorHAnsi" w:cstheme="minorHAnsi"/>
          <w:i/>
          <w:iCs/>
          <w:color w:val="auto"/>
          <w:sz w:val="26"/>
          <w:szCs w:val="26"/>
        </w:rPr>
        <w:t>Européenne</w:t>
      </w:r>
      <w:proofErr w:type="spellEnd"/>
      <w:r w:rsidRPr="00FC2582">
        <w:rPr>
          <w:rFonts w:asciiTheme="minorHAnsi" w:hAnsiTheme="minorHAnsi" w:cstheme="minorHAnsi"/>
          <w:color w:val="auto"/>
          <w:sz w:val="26"/>
          <w:szCs w:val="26"/>
        </w:rPr>
        <w:t>”, 7</w:t>
      </w:r>
      <w:r w:rsidRPr="00FC2582">
        <w:rPr>
          <w:rFonts w:asciiTheme="minorHAnsi" w:hAnsiTheme="minorHAnsi" w:cstheme="minorHAnsi"/>
          <w:color w:val="auto"/>
          <w:sz w:val="26"/>
          <w:szCs w:val="26"/>
          <w:vertAlign w:val="superscript"/>
        </w:rPr>
        <w:t xml:space="preserve">e </w:t>
      </w:r>
      <w:proofErr w:type="spellStart"/>
      <w:r w:rsidRPr="00FC2582">
        <w:rPr>
          <w:rFonts w:asciiTheme="minorHAnsi" w:hAnsiTheme="minorHAnsi" w:cstheme="minorHAnsi"/>
          <w:color w:val="auto"/>
          <w:sz w:val="26"/>
          <w:szCs w:val="26"/>
        </w:rPr>
        <w:t>édition</w:t>
      </w:r>
      <w:proofErr w:type="spellEnd"/>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color w:val="auto"/>
          <w:sz w:val="26"/>
          <w:szCs w:val="26"/>
        </w:rPr>
        <w:t>Litec</w:t>
      </w:r>
      <w:proofErr w:type="spellEnd"/>
      <w:r w:rsidRPr="00FC2582">
        <w:rPr>
          <w:rFonts w:asciiTheme="minorHAnsi" w:hAnsiTheme="minorHAnsi" w:cstheme="minorHAnsi"/>
          <w:color w:val="auto"/>
          <w:sz w:val="26"/>
          <w:szCs w:val="26"/>
        </w:rPr>
        <w:t>, 2015;</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proofErr w:type="spellStart"/>
      <w:r w:rsidRPr="00FC2582">
        <w:rPr>
          <w:rFonts w:asciiTheme="minorHAnsi" w:hAnsiTheme="minorHAnsi" w:cstheme="minorHAnsi"/>
          <w:b/>
          <w:color w:val="auto"/>
          <w:sz w:val="26"/>
          <w:szCs w:val="26"/>
        </w:rPr>
        <w:t>Ligneul</w:t>
      </w:r>
      <w:proofErr w:type="spellEnd"/>
      <w:r w:rsidRPr="00FC2582">
        <w:rPr>
          <w:rFonts w:asciiTheme="minorHAnsi" w:hAnsiTheme="minorHAnsi" w:cstheme="minorHAnsi"/>
          <w:b/>
          <w:color w:val="auto"/>
          <w:sz w:val="26"/>
          <w:szCs w:val="26"/>
        </w:rPr>
        <w:t>, Nicolas</w:t>
      </w:r>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b/>
          <w:color w:val="auto"/>
          <w:sz w:val="26"/>
          <w:szCs w:val="26"/>
        </w:rPr>
        <w:t>Tambou</w:t>
      </w:r>
      <w:proofErr w:type="spellEnd"/>
      <w:r w:rsidRPr="00FC2582">
        <w:rPr>
          <w:rFonts w:asciiTheme="minorHAnsi" w:hAnsiTheme="minorHAnsi" w:cstheme="minorHAnsi"/>
          <w:b/>
          <w:color w:val="auto"/>
          <w:sz w:val="26"/>
          <w:szCs w:val="26"/>
        </w:rPr>
        <w:t>, Olivia</w:t>
      </w:r>
      <w:r w:rsidRPr="00FC2582">
        <w:rPr>
          <w:rFonts w:asciiTheme="minorHAnsi" w:hAnsiTheme="minorHAnsi" w:cstheme="minorHAnsi"/>
          <w:color w:val="auto"/>
          <w:sz w:val="26"/>
          <w:szCs w:val="26"/>
        </w:rPr>
        <w:t>, „</w:t>
      </w:r>
      <w:proofErr w:type="spellStart"/>
      <w:r w:rsidRPr="00FC2582">
        <w:rPr>
          <w:rFonts w:asciiTheme="minorHAnsi" w:hAnsiTheme="minorHAnsi" w:cstheme="minorHAnsi"/>
          <w:i/>
          <w:color w:val="auto"/>
          <w:sz w:val="26"/>
          <w:szCs w:val="26"/>
        </w:rPr>
        <w:t>Droit</w:t>
      </w:r>
      <w:proofErr w:type="spellEnd"/>
      <w:r w:rsidRPr="00FC2582">
        <w:rPr>
          <w:rFonts w:asciiTheme="minorHAnsi" w:hAnsiTheme="minorHAnsi" w:cstheme="minorHAnsi"/>
          <w:i/>
          <w:color w:val="auto"/>
          <w:sz w:val="26"/>
          <w:szCs w:val="26"/>
        </w:rPr>
        <w:t xml:space="preserve"> </w:t>
      </w:r>
      <w:proofErr w:type="spellStart"/>
      <w:r w:rsidRPr="00FC2582">
        <w:rPr>
          <w:rFonts w:asciiTheme="minorHAnsi" w:hAnsiTheme="minorHAnsi" w:cstheme="minorHAnsi"/>
          <w:i/>
          <w:color w:val="auto"/>
          <w:sz w:val="26"/>
          <w:szCs w:val="26"/>
        </w:rPr>
        <w:t>européen</w:t>
      </w:r>
      <w:proofErr w:type="spellEnd"/>
      <w:r w:rsidRPr="00FC2582">
        <w:rPr>
          <w:rFonts w:asciiTheme="minorHAnsi" w:hAnsiTheme="minorHAnsi" w:cstheme="minorHAnsi"/>
          <w:i/>
          <w:color w:val="auto"/>
          <w:sz w:val="26"/>
          <w:szCs w:val="26"/>
        </w:rPr>
        <w:t xml:space="preserve"> du </w:t>
      </w:r>
      <w:proofErr w:type="spellStart"/>
      <w:r w:rsidRPr="00FC2582">
        <w:rPr>
          <w:rFonts w:asciiTheme="minorHAnsi" w:hAnsiTheme="minorHAnsi" w:cstheme="minorHAnsi"/>
          <w:i/>
          <w:color w:val="auto"/>
          <w:sz w:val="26"/>
          <w:szCs w:val="26"/>
        </w:rPr>
        <w:t>marché</w:t>
      </w:r>
      <w:proofErr w:type="spellEnd"/>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color w:val="auto"/>
          <w:sz w:val="26"/>
          <w:szCs w:val="26"/>
        </w:rPr>
        <w:t>Ellipses</w:t>
      </w:r>
      <w:proofErr w:type="spellEnd"/>
      <w:r w:rsidRPr="00FC2582">
        <w:rPr>
          <w:rFonts w:asciiTheme="minorHAnsi" w:hAnsiTheme="minorHAnsi" w:cstheme="minorHAnsi"/>
          <w:color w:val="auto"/>
          <w:sz w:val="26"/>
          <w:szCs w:val="26"/>
        </w:rPr>
        <w:t>, Paris, 2006;</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r w:rsidRPr="00FC2582">
        <w:rPr>
          <w:rFonts w:asciiTheme="minorHAnsi" w:hAnsiTheme="minorHAnsi" w:cstheme="minorHAnsi"/>
          <w:b/>
          <w:bCs/>
          <w:color w:val="auto"/>
          <w:sz w:val="26"/>
          <w:szCs w:val="26"/>
        </w:rPr>
        <w:t xml:space="preserve">Popescu, R.M.; </w:t>
      </w:r>
      <w:proofErr w:type="spellStart"/>
      <w:r w:rsidRPr="00FC2582">
        <w:rPr>
          <w:rFonts w:asciiTheme="minorHAnsi" w:hAnsiTheme="minorHAnsi" w:cstheme="minorHAnsi"/>
          <w:b/>
          <w:bCs/>
          <w:color w:val="auto"/>
          <w:sz w:val="26"/>
          <w:szCs w:val="26"/>
        </w:rPr>
        <w:t>Dumitraşcu</w:t>
      </w:r>
      <w:proofErr w:type="spellEnd"/>
      <w:r w:rsidRPr="00FC2582">
        <w:rPr>
          <w:rFonts w:asciiTheme="minorHAnsi" w:hAnsiTheme="minorHAnsi" w:cstheme="minorHAnsi"/>
          <w:b/>
          <w:bCs/>
          <w:color w:val="auto"/>
          <w:sz w:val="26"/>
          <w:szCs w:val="26"/>
        </w:rPr>
        <w:t xml:space="preserve">, A.M.; </w:t>
      </w:r>
      <w:proofErr w:type="spellStart"/>
      <w:r w:rsidRPr="00FC2582">
        <w:rPr>
          <w:rFonts w:asciiTheme="minorHAnsi" w:hAnsiTheme="minorHAnsi" w:cstheme="minorHAnsi"/>
          <w:b/>
          <w:bCs/>
          <w:color w:val="auto"/>
          <w:sz w:val="26"/>
          <w:szCs w:val="26"/>
        </w:rPr>
        <w:t>Fuerea</w:t>
      </w:r>
      <w:proofErr w:type="spellEnd"/>
      <w:r w:rsidRPr="00FC2582">
        <w:rPr>
          <w:rFonts w:asciiTheme="minorHAnsi" w:hAnsiTheme="minorHAnsi" w:cstheme="minorHAnsi"/>
          <w:b/>
          <w:bCs/>
          <w:color w:val="auto"/>
          <w:sz w:val="26"/>
          <w:szCs w:val="26"/>
        </w:rPr>
        <w:t xml:space="preserve">; A., </w:t>
      </w:r>
      <w:r w:rsidRPr="00FC2582">
        <w:rPr>
          <w:rFonts w:asciiTheme="minorHAnsi" w:hAnsiTheme="minorHAnsi" w:cstheme="minorHAnsi"/>
          <w:color w:val="auto"/>
          <w:sz w:val="26"/>
          <w:szCs w:val="26"/>
        </w:rPr>
        <w:t>„</w:t>
      </w:r>
      <w:r w:rsidRPr="00FC2582">
        <w:rPr>
          <w:rFonts w:asciiTheme="minorHAnsi" w:hAnsiTheme="minorHAnsi" w:cstheme="minorHAnsi"/>
          <w:i/>
          <w:color w:val="auto"/>
          <w:sz w:val="26"/>
          <w:szCs w:val="26"/>
        </w:rPr>
        <w:t>Dreptul Uniunii Europene. Sinteze și aplicații</w:t>
      </w:r>
      <w:r w:rsidRPr="00FC2582">
        <w:rPr>
          <w:rFonts w:asciiTheme="minorHAnsi" w:hAnsiTheme="minorHAnsi" w:cstheme="minorHAnsi"/>
          <w:color w:val="auto"/>
          <w:sz w:val="26"/>
          <w:szCs w:val="26"/>
        </w:rPr>
        <w:t>”, ediţia a II-a, revăzută și adăugită, Editura Universul Juridic, Bucureşti, 2015;</w:t>
      </w:r>
    </w:p>
    <w:p w:rsidR="00D67FF7" w:rsidRPr="00FC2582" w:rsidRDefault="00D67FF7" w:rsidP="0056390B">
      <w:pPr>
        <w:pStyle w:val="ListParagraph"/>
        <w:widowControl/>
        <w:numPr>
          <w:ilvl w:val="0"/>
          <w:numId w:val="50"/>
        </w:numPr>
        <w:autoSpaceDE w:val="0"/>
        <w:autoSpaceDN w:val="0"/>
        <w:adjustRightInd w:val="0"/>
        <w:ind w:left="360"/>
        <w:jc w:val="both"/>
        <w:rPr>
          <w:rFonts w:asciiTheme="minorHAnsi" w:hAnsiTheme="minorHAnsi" w:cstheme="minorHAnsi"/>
          <w:color w:val="auto"/>
          <w:sz w:val="26"/>
          <w:szCs w:val="26"/>
        </w:rPr>
      </w:pPr>
      <w:r w:rsidRPr="00FC2582">
        <w:rPr>
          <w:rFonts w:asciiTheme="minorHAnsi" w:hAnsiTheme="minorHAnsi" w:cstheme="minorHAnsi"/>
          <w:b/>
          <w:bCs/>
          <w:color w:val="auto"/>
          <w:sz w:val="26"/>
          <w:szCs w:val="26"/>
        </w:rPr>
        <w:t xml:space="preserve">Popescu, Roxana-Mariana, </w:t>
      </w:r>
      <w:r w:rsidRPr="00FC2582">
        <w:rPr>
          <w:rFonts w:asciiTheme="minorHAnsi" w:hAnsiTheme="minorHAnsi" w:cstheme="minorHAnsi"/>
          <w:bCs/>
          <w:color w:val="auto"/>
          <w:sz w:val="26"/>
          <w:szCs w:val="26"/>
        </w:rPr>
        <w:t>„</w:t>
      </w:r>
      <w:r w:rsidRPr="00FC2582">
        <w:rPr>
          <w:rFonts w:asciiTheme="minorHAnsi" w:hAnsiTheme="minorHAnsi" w:cstheme="minorHAnsi"/>
          <w:bCs/>
          <w:i/>
          <w:color w:val="auto"/>
          <w:sz w:val="26"/>
          <w:szCs w:val="26"/>
        </w:rPr>
        <w:t xml:space="preserve">Introducere în dreptul Uniunii Europene”, </w:t>
      </w:r>
      <w:r w:rsidRPr="00FC2582">
        <w:rPr>
          <w:rFonts w:asciiTheme="minorHAnsi" w:hAnsiTheme="minorHAnsi" w:cstheme="minorHAnsi"/>
          <w:bCs/>
          <w:color w:val="auto"/>
          <w:sz w:val="26"/>
          <w:szCs w:val="26"/>
        </w:rPr>
        <w:t>Editura Universul Juridic, Bucureşti, 2011.</w:t>
      </w:r>
    </w:p>
    <w:p w:rsidR="00D67FF7" w:rsidRPr="00FC2582" w:rsidRDefault="00D67FF7" w:rsidP="0056390B">
      <w:pPr>
        <w:autoSpaceDE w:val="0"/>
        <w:autoSpaceDN w:val="0"/>
        <w:adjustRightInd w:val="0"/>
        <w:ind w:left="360"/>
        <w:jc w:val="both"/>
        <w:rPr>
          <w:rFonts w:asciiTheme="minorHAnsi" w:hAnsiTheme="minorHAnsi" w:cstheme="minorHAnsi"/>
          <w:color w:val="auto"/>
          <w:sz w:val="26"/>
          <w:szCs w:val="26"/>
        </w:rPr>
      </w:pPr>
    </w:p>
    <w:p w:rsidR="00D67FF7" w:rsidRPr="00FC2582" w:rsidRDefault="00D67FF7" w:rsidP="00D67FF7">
      <w:p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u w:val="single"/>
        </w:rPr>
        <w:t>Culegeri</w:t>
      </w:r>
      <w:r w:rsidRPr="00FC2582">
        <w:rPr>
          <w:rFonts w:asciiTheme="minorHAnsi" w:hAnsiTheme="minorHAnsi" w:cstheme="minorHAnsi"/>
          <w:color w:val="auto"/>
          <w:sz w:val="26"/>
          <w:szCs w:val="26"/>
        </w:rPr>
        <w:t>:</w:t>
      </w:r>
    </w:p>
    <w:p w:rsidR="00D67FF7" w:rsidRPr="00FC2582" w:rsidRDefault="00D67FF7" w:rsidP="00D67FF7">
      <w:pPr>
        <w:widowControl/>
        <w:numPr>
          <w:ilvl w:val="0"/>
          <w:numId w:val="43"/>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b/>
          <w:color w:val="auto"/>
          <w:sz w:val="26"/>
          <w:szCs w:val="26"/>
        </w:rPr>
        <w:t>Deleanu, Sergiu</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Fabian, G.</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Costaş, C.F.</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Ioniţă, B.</w:t>
      </w:r>
      <w:r w:rsidRPr="00FC2582">
        <w:rPr>
          <w:rFonts w:asciiTheme="minorHAnsi" w:hAnsiTheme="minorHAnsi" w:cstheme="minorHAnsi"/>
          <w:color w:val="auto"/>
          <w:sz w:val="26"/>
          <w:szCs w:val="26"/>
        </w:rPr>
        <w:t>, „</w:t>
      </w:r>
      <w:r w:rsidRPr="00FC2582">
        <w:rPr>
          <w:rFonts w:asciiTheme="minorHAnsi" w:hAnsiTheme="minorHAnsi" w:cstheme="minorHAnsi"/>
          <w:i/>
          <w:color w:val="auto"/>
          <w:sz w:val="26"/>
          <w:szCs w:val="26"/>
        </w:rPr>
        <w:t>Curtea de Justiţie Europeană. Hotărâri comentate</w:t>
      </w:r>
      <w:r w:rsidRPr="00FC2582">
        <w:rPr>
          <w:rFonts w:asciiTheme="minorHAnsi" w:hAnsiTheme="minorHAnsi" w:cstheme="minorHAnsi"/>
          <w:color w:val="auto"/>
          <w:sz w:val="26"/>
          <w:szCs w:val="26"/>
        </w:rPr>
        <w:t xml:space="preserve">”, Editura </w:t>
      </w:r>
      <w:proofErr w:type="spellStart"/>
      <w:r w:rsidRPr="00FC2582">
        <w:rPr>
          <w:rFonts w:asciiTheme="minorHAnsi" w:hAnsiTheme="minorHAnsi" w:cstheme="minorHAnsi"/>
          <w:color w:val="auto"/>
          <w:sz w:val="26"/>
          <w:szCs w:val="26"/>
        </w:rPr>
        <w:t>Wolters</w:t>
      </w:r>
      <w:proofErr w:type="spellEnd"/>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color w:val="auto"/>
          <w:sz w:val="26"/>
          <w:szCs w:val="26"/>
        </w:rPr>
        <w:t>Kluwer</w:t>
      </w:r>
      <w:proofErr w:type="spellEnd"/>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color w:val="auto"/>
          <w:sz w:val="26"/>
          <w:szCs w:val="26"/>
        </w:rPr>
        <w:t>Bucureşti</w:t>
      </w:r>
      <w:proofErr w:type="spellEnd"/>
      <w:r w:rsidRPr="00FC2582">
        <w:rPr>
          <w:rFonts w:asciiTheme="minorHAnsi" w:hAnsiTheme="minorHAnsi" w:cstheme="minorHAnsi"/>
          <w:color w:val="auto"/>
          <w:sz w:val="26"/>
          <w:szCs w:val="26"/>
        </w:rPr>
        <w:t>, 2007;</w:t>
      </w:r>
    </w:p>
    <w:p w:rsidR="00D67FF7" w:rsidRPr="00FC2582" w:rsidRDefault="00D67FF7" w:rsidP="00D67FF7">
      <w:pPr>
        <w:widowControl/>
        <w:numPr>
          <w:ilvl w:val="0"/>
          <w:numId w:val="43"/>
        </w:numPr>
        <w:autoSpaceDE w:val="0"/>
        <w:autoSpaceDN w:val="0"/>
        <w:adjustRightInd w:val="0"/>
        <w:jc w:val="both"/>
        <w:rPr>
          <w:rFonts w:asciiTheme="minorHAnsi" w:hAnsiTheme="minorHAnsi" w:cstheme="minorHAnsi"/>
          <w:color w:val="auto"/>
          <w:sz w:val="26"/>
          <w:szCs w:val="26"/>
        </w:rPr>
      </w:pPr>
      <w:proofErr w:type="spellStart"/>
      <w:r w:rsidRPr="00FC2582">
        <w:rPr>
          <w:rFonts w:asciiTheme="minorHAnsi" w:hAnsiTheme="minorHAnsi" w:cstheme="minorHAnsi"/>
          <w:b/>
          <w:color w:val="auto"/>
          <w:sz w:val="26"/>
          <w:szCs w:val="26"/>
        </w:rPr>
        <w:t>Fuerea</w:t>
      </w:r>
      <w:proofErr w:type="spellEnd"/>
      <w:r w:rsidRPr="00FC2582">
        <w:rPr>
          <w:rFonts w:asciiTheme="minorHAnsi" w:hAnsiTheme="minorHAnsi" w:cstheme="minorHAnsi"/>
          <w:b/>
          <w:color w:val="auto"/>
          <w:sz w:val="26"/>
          <w:szCs w:val="26"/>
        </w:rPr>
        <w:t>,</w:t>
      </w:r>
      <w:r w:rsidRPr="00FC2582">
        <w:rPr>
          <w:rFonts w:asciiTheme="minorHAnsi" w:hAnsiTheme="minorHAnsi" w:cstheme="minorHAnsi"/>
          <w:color w:val="auto"/>
          <w:sz w:val="26"/>
          <w:szCs w:val="26"/>
        </w:rPr>
        <w:t xml:space="preserve"> </w:t>
      </w:r>
      <w:r w:rsidRPr="00FC2582">
        <w:rPr>
          <w:rFonts w:asciiTheme="minorHAnsi" w:hAnsiTheme="minorHAnsi" w:cstheme="minorHAnsi"/>
          <w:b/>
          <w:color w:val="auto"/>
          <w:sz w:val="26"/>
          <w:szCs w:val="26"/>
        </w:rPr>
        <w:t xml:space="preserve">Augustin </w:t>
      </w:r>
      <w:r w:rsidRPr="00FC2582">
        <w:rPr>
          <w:rFonts w:asciiTheme="minorHAnsi" w:hAnsiTheme="minorHAnsi" w:cstheme="minorHAnsi"/>
          <w:color w:val="auto"/>
          <w:sz w:val="26"/>
          <w:szCs w:val="26"/>
        </w:rPr>
        <w:t>(coordonare şi prefaţare ediţie), „</w:t>
      </w:r>
      <w:r w:rsidRPr="00FC2582">
        <w:rPr>
          <w:rFonts w:asciiTheme="minorHAnsi" w:hAnsiTheme="minorHAnsi" w:cstheme="minorHAnsi"/>
          <w:i/>
          <w:color w:val="auto"/>
          <w:sz w:val="26"/>
          <w:szCs w:val="26"/>
        </w:rPr>
        <w:t xml:space="preserve">Tratatele fundamentale ale Uniunii Europene”, </w:t>
      </w:r>
      <w:r w:rsidRPr="00FC2582">
        <w:rPr>
          <w:rFonts w:asciiTheme="minorHAnsi" w:hAnsiTheme="minorHAnsi" w:cstheme="minorHAnsi"/>
          <w:color w:val="auto"/>
          <w:sz w:val="26"/>
          <w:szCs w:val="26"/>
        </w:rPr>
        <w:t xml:space="preserve">Editura </w:t>
      </w:r>
      <w:proofErr w:type="spellStart"/>
      <w:r w:rsidRPr="00FC2582">
        <w:rPr>
          <w:rFonts w:asciiTheme="minorHAnsi" w:hAnsiTheme="minorHAnsi" w:cstheme="minorHAnsi"/>
          <w:color w:val="auto"/>
          <w:sz w:val="26"/>
          <w:szCs w:val="26"/>
        </w:rPr>
        <w:t>C.H.Beck</w:t>
      </w:r>
      <w:proofErr w:type="spellEnd"/>
      <w:r w:rsidRPr="00FC2582">
        <w:rPr>
          <w:rFonts w:asciiTheme="minorHAnsi" w:hAnsiTheme="minorHAnsi" w:cstheme="minorHAnsi"/>
          <w:color w:val="auto"/>
          <w:sz w:val="26"/>
          <w:szCs w:val="26"/>
        </w:rPr>
        <w:t xml:space="preserve">, </w:t>
      </w:r>
      <w:proofErr w:type="spellStart"/>
      <w:r w:rsidRPr="00FC2582">
        <w:rPr>
          <w:rFonts w:asciiTheme="minorHAnsi" w:hAnsiTheme="minorHAnsi" w:cstheme="minorHAnsi"/>
          <w:color w:val="auto"/>
          <w:sz w:val="26"/>
          <w:szCs w:val="26"/>
        </w:rPr>
        <w:t>Bucureşti</w:t>
      </w:r>
      <w:proofErr w:type="spellEnd"/>
      <w:r w:rsidRPr="00FC2582">
        <w:rPr>
          <w:rFonts w:asciiTheme="minorHAnsi" w:hAnsiTheme="minorHAnsi" w:cstheme="minorHAnsi"/>
          <w:color w:val="auto"/>
          <w:sz w:val="26"/>
          <w:szCs w:val="26"/>
        </w:rPr>
        <w:t>, 2017;</w:t>
      </w:r>
    </w:p>
    <w:p w:rsidR="00D67FF7" w:rsidRPr="00FC2582" w:rsidRDefault="00D67FF7" w:rsidP="00D67FF7">
      <w:pPr>
        <w:autoSpaceDE w:val="0"/>
        <w:autoSpaceDN w:val="0"/>
        <w:adjustRightInd w:val="0"/>
        <w:jc w:val="both"/>
        <w:rPr>
          <w:rFonts w:asciiTheme="minorHAnsi" w:hAnsiTheme="minorHAnsi" w:cstheme="minorHAnsi"/>
          <w:color w:val="auto"/>
          <w:sz w:val="26"/>
          <w:szCs w:val="26"/>
          <w:u w:val="single"/>
        </w:rPr>
      </w:pPr>
    </w:p>
    <w:p w:rsidR="00D67FF7" w:rsidRPr="00FC2582" w:rsidRDefault="00D67FF7" w:rsidP="00D67FF7">
      <w:p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u w:val="single"/>
        </w:rPr>
        <w:lastRenderedPageBreak/>
        <w:t>Legislaţie</w:t>
      </w:r>
      <w:r w:rsidRPr="00FC2582">
        <w:rPr>
          <w:rFonts w:asciiTheme="minorHAnsi" w:hAnsiTheme="minorHAnsi" w:cstheme="minorHAnsi"/>
          <w:color w:val="auto"/>
          <w:sz w:val="26"/>
          <w:szCs w:val="26"/>
        </w:rPr>
        <w:t>:</w:t>
      </w:r>
    </w:p>
    <w:p w:rsidR="00D67FF7" w:rsidRPr="00FC2582" w:rsidRDefault="00D67FF7" w:rsidP="00D67FF7">
      <w:pPr>
        <w:widowControl/>
        <w:numPr>
          <w:ilvl w:val="0"/>
          <w:numId w:val="44"/>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Constituţia României, republicată;</w:t>
      </w:r>
    </w:p>
    <w:p w:rsidR="00D67FF7" w:rsidRPr="00FC2582" w:rsidRDefault="00D67FF7" w:rsidP="00D67FF7">
      <w:pPr>
        <w:widowControl/>
        <w:numPr>
          <w:ilvl w:val="0"/>
          <w:numId w:val="44"/>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Tratatul de aderare a României la Uniunea Europeană (ratificat prin Legea nr.157/2005);</w:t>
      </w:r>
    </w:p>
    <w:p w:rsidR="00D67FF7" w:rsidRPr="00FC2582" w:rsidRDefault="00D67FF7" w:rsidP="00D67FF7">
      <w:pPr>
        <w:widowControl/>
        <w:numPr>
          <w:ilvl w:val="0"/>
          <w:numId w:val="44"/>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Tratatul de la Lisabona (2007/2009);</w:t>
      </w:r>
    </w:p>
    <w:p w:rsidR="00D67FF7" w:rsidRPr="00FC2582" w:rsidRDefault="00D67FF7" w:rsidP="00D67FF7">
      <w:pPr>
        <w:widowControl/>
        <w:numPr>
          <w:ilvl w:val="0"/>
          <w:numId w:val="44"/>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rPr>
        <w:t>Tratatul privind funcţionarea Uniunii Europene (versiunea consolidată, publicată în J</w:t>
      </w:r>
      <w:r w:rsidRPr="00FC2582">
        <w:rPr>
          <w:rFonts w:asciiTheme="minorHAnsi" w:hAnsiTheme="minorHAnsi" w:cstheme="minorHAnsi"/>
          <w:iCs/>
          <w:color w:val="auto"/>
          <w:sz w:val="26"/>
          <w:szCs w:val="26"/>
        </w:rPr>
        <w:t>urnalul Oficial C 202, 2016);</w:t>
      </w:r>
    </w:p>
    <w:p w:rsidR="00D67FF7" w:rsidRPr="00FC2582" w:rsidRDefault="00D67FF7" w:rsidP="00D67FF7">
      <w:pPr>
        <w:widowControl/>
        <w:numPr>
          <w:ilvl w:val="0"/>
          <w:numId w:val="44"/>
        </w:num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iCs/>
          <w:color w:val="auto"/>
          <w:sz w:val="26"/>
          <w:szCs w:val="26"/>
        </w:rPr>
        <w:t>Tratatul privind Uniunea Europeană (versiunea consolidată,</w:t>
      </w:r>
      <w:r w:rsidRPr="00FC2582">
        <w:rPr>
          <w:rFonts w:asciiTheme="minorHAnsi" w:hAnsiTheme="minorHAnsi" w:cstheme="minorHAnsi"/>
          <w:color w:val="auto"/>
          <w:sz w:val="26"/>
          <w:szCs w:val="26"/>
        </w:rPr>
        <w:t xml:space="preserve"> publicată în J</w:t>
      </w:r>
      <w:r w:rsidRPr="00FC2582">
        <w:rPr>
          <w:rFonts w:asciiTheme="minorHAnsi" w:hAnsiTheme="minorHAnsi" w:cstheme="minorHAnsi"/>
          <w:iCs/>
          <w:color w:val="auto"/>
          <w:sz w:val="26"/>
          <w:szCs w:val="26"/>
        </w:rPr>
        <w:t>urnalul Oficial C 202, 2016).</w:t>
      </w:r>
    </w:p>
    <w:p w:rsidR="00D67FF7" w:rsidRPr="00FC2582" w:rsidRDefault="00D67FF7" w:rsidP="00D67FF7">
      <w:pPr>
        <w:autoSpaceDE w:val="0"/>
        <w:autoSpaceDN w:val="0"/>
        <w:adjustRightInd w:val="0"/>
        <w:jc w:val="both"/>
        <w:rPr>
          <w:rFonts w:asciiTheme="minorHAnsi" w:hAnsiTheme="minorHAnsi" w:cstheme="minorHAnsi"/>
          <w:color w:val="auto"/>
          <w:sz w:val="26"/>
          <w:szCs w:val="26"/>
        </w:rPr>
      </w:pPr>
    </w:p>
    <w:p w:rsidR="00D67FF7" w:rsidRPr="00FC2582" w:rsidRDefault="00D67FF7" w:rsidP="00D67FF7">
      <w:pPr>
        <w:autoSpaceDE w:val="0"/>
        <w:autoSpaceDN w:val="0"/>
        <w:adjustRightInd w:val="0"/>
        <w:jc w:val="both"/>
        <w:rPr>
          <w:rFonts w:asciiTheme="minorHAnsi" w:hAnsiTheme="minorHAnsi" w:cstheme="minorHAnsi"/>
          <w:color w:val="auto"/>
          <w:sz w:val="26"/>
          <w:szCs w:val="26"/>
        </w:rPr>
      </w:pPr>
      <w:r w:rsidRPr="00FC2582">
        <w:rPr>
          <w:rFonts w:asciiTheme="minorHAnsi" w:hAnsiTheme="minorHAnsi" w:cstheme="minorHAnsi"/>
          <w:color w:val="auto"/>
          <w:sz w:val="26"/>
          <w:szCs w:val="26"/>
          <w:u w:val="single"/>
        </w:rPr>
        <w:t>Site-uri</w:t>
      </w:r>
      <w:r w:rsidRPr="00FC2582">
        <w:rPr>
          <w:rFonts w:asciiTheme="minorHAnsi" w:hAnsiTheme="minorHAnsi" w:cstheme="minorHAnsi"/>
          <w:color w:val="auto"/>
          <w:sz w:val="26"/>
          <w:szCs w:val="26"/>
        </w:rPr>
        <w:t>:</w:t>
      </w:r>
    </w:p>
    <w:p w:rsidR="00D67FF7" w:rsidRPr="00FC2582" w:rsidRDefault="005F62E4" w:rsidP="00D67FF7">
      <w:pPr>
        <w:widowControl/>
        <w:numPr>
          <w:ilvl w:val="0"/>
          <w:numId w:val="43"/>
        </w:numPr>
        <w:autoSpaceDE w:val="0"/>
        <w:autoSpaceDN w:val="0"/>
        <w:adjustRightInd w:val="0"/>
        <w:jc w:val="both"/>
        <w:rPr>
          <w:rFonts w:asciiTheme="minorHAnsi" w:hAnsiTheme="minorHAnsi" w:cstheme="minorHAnsi"/>
          <w:color w:val="auto"/>
          <w:sz w:val="26"/>
          <w:szCs w:val="26"/>
        </w:rPr>
      </w:pPr>
      <w:hyperlink r:id="rId9" w:history="1">
        <w:r w:rsidR="00D67FF7" w:rsidRPr="00FC2582">
          <w:rPr>
            <w:rStyle w:val="Hyperlink"/>
            <w:rFonts w:asciiTheme="minorHAnsi" w:hAnsiTheme="minorHAnsi" w:cstheme="minorHAnsi"/>
            <w:color w:val="auto"/>
            <w:sz w:val="26"/>
            <w:szCs w:val="26"/>
          </w:rPr>
          <w:t>www.curia.europa.eu</w:t>
        </w:r>
      </w:hyperlink>
      <w:r w:rsidR="00D67FF7" w:rsidRPr="00FC2582">
        <w:rPr>
          <w:rFonts w:asciiTheme="minorHAnsi" w:hAnsiTheme="minorHAnsi" w:cstheme="minorHAnsi"/>
          <w:color w:val="auto"/>
          <w:sz w:val="26"/>
          <w:szCs w:val="26"/>
        </w:rPr>
        <w:t xml:space="preserve"> – Curtea de Justiţie a Uniunii Europene; jurisprudenţă istorică;</w:t>
      </w:r>
    </w:p>
    <w:p w:rsidR="00D67FF7" w:rsidRPr="00FC2582" w:rsidRDefault="005F62E4" w:rsidP="00D67FF7">
      <w:pPr>
        <w:widowControl/>
        <w:numPr>
          <w:ilvl w:val="0"/>
          <w:numId w:val="43"/>
        </w:numPr>
        <w:autoSpaceDE w:val="0"/>
        <w:autoSpaceDN w:val="0"/>
        <w:adjustRightInd w:val="0"/>
        <w:jc w:val="both"/>
        <w:rPr>
          <w:rFonts w:asciiTheme="minorHAnsi" w:hAnsiTheme="minorHAnsi" w:cstheme="minorHAnsi"/>
          <w:color w:val="auto"/>
          <w:sz w:val="26"/>
          <w:szCs w:val="26"/>
        </w:rPr>
      </w:pPr>
      <w:hyperlink r:id="rId10" w:history="1">
        <w:r w:rsidR="00D67FF7" w:rsidRPr="00FC2582">
          <w:rPr>
            <w:rStyle w:val="Hyperlink"/>
            <w:rFonts w:asciiTheme="minorHAnsi" w:hAnsiTheme="minorHAnsi" w:cstheme="minorHAnsi"/>
            <w:color w:val="auto"/>
            <w:sz w:val="26"/>
            <w:szCs w:val="26"/>
          </w:rPr>
          <w:t>http://www.cvce.eu/</w:t>
        </w:r>
      </w:hyperlink>
      <w:r w:rsidR="00D67FF7" w:rsidRPr="00FC2582">
        <w:rPr>
          <w:rFonts w:asciiTheme="minorHAnsi" w:hAnsiTheme="minorHAnsi" w:cstheme="minorHAnsi"/>
          <w:color w:val="auto"/>
          <w:sz w:val="26"/>
          <w:szCs w:val="26"/>
        </w:rPr>
        <w:t xml:space="preserve"> – European Navigatore;</w:t>
      </w:r>
    </w:p>
    <w:p w:rsidR="00D67FF7" w:rsidRPr="00FC2582" w:rsidRDefault="005F62E4" w:rsidP="00D67FF7">
      <w:pPr>
        <w:widowControl/>
        <w:numPr>
          <w:ilvl w:val="0"/>
          <w:numId w:val="43"/>
        </w:numPr>
        <w:autoSpaceDE w:val="0"/>
        <w:autoSpaceDN w:val="0"/>
        <w:adjustRightInd w:val="0"/>
        <w:jc w:val="both"/>
        <w:rPr>
          <w:rFonts w:asciiTheme="minorHAnsi" w:hAnsiTheme="minorHAnsi" w:cstheme="minorHAnsi"/>
          <w:color w:val="auto"/>
          <w:sz w:val="26"/>
          <w:szCs w:val="26"/>
        </w:rPr>
      </w:pPr>
      <w:hyperlink r:id="rId11" w:history="1">
        <w:r w:rsidR="00D67FF7" w:rsidRPr="00FC2582">
          <w:rPr>
            <w:rStyle w:val="Hyperlink"/>
            <w:rFonts w:asciiTheme="minorHAnsi" w:hAnsiTheme="minorHAnsi" w:cstheme="minorHAnsi"/>
            <w:color w:val="auto"/>
            <w:sz w:val="26"/>
            <w:szCs w:val="26"/>
          </w:rPr>
          <w:t>www.ier.ro</w:t>
        </w:r>
      </w:hyperlink>
      <w:r w:rsidR="00D67FF7" w:rsidRPr="00FC2582">
        <w:rPr>
          <w:rFonts w:asciiTheme="minorHAnsi" w:hAnsiTheme="minorHAnsi" w:cstheme="minorHAnsi"/>
          <w:color w:val="auto"/>
          <w:sz w:val="26"/>
          <w:szCs w:val="26"/>
        </w:rPr>
        <w:t xml:space="preserve"> – Institutul European din România;</w:t>
      </w:r>
    </w:p>
    <w:p w:rsidR="00D67FF7" w:rsidRPr="00FC2582" w:rsidRDefault="005F62E4" w:rsidP="00D67FF7">
      <w:pPr>
        <w:widowControl/>
        <w:numPr>
          <w:ilvl w:val="0"/>
          <w:numId w:val="43"/>
        </w:numPr>
        <w:autoSpaceDE w:val="0"/>
        <w:autoSpaceDN w:val="0"/>
        <w:adjustRightInd w:val="0"/>
        <w:jc w:val="both"/>
        <w:rPr>
          <w:rFonts w:asciiTheme="minorHAnsi" w:hAnsiTheme="minorHAnsi" w:cstheme="minorHAnsi"/>
          <w:color w:val="auto"/>
          <w:sz w:val="26"/>
          <w:szCs w:val="26"/>
        </w:rPr>
      </w:pPr>
      <w:hyperlink r:id="rId12" w:history="1">
        <w:r w:rsidR="00D67FF7" w:rsidRPr="00FC2582">
          <w:rPr>
            <w:rStyle w:val="Hyperlink"/>
            <w:rFonts w:asciiTheme="minorHAnsi" w:hAnsiTheme="minorHAnsi" w:cstheme="minorHAnsi"/>
            <w:color w:val="auto"/>
            <w:sz w:val="26"/>
            <w:szCs w:val="26"/>
          </w:rPr>
          <w:t>http://beatrice.andresan.ro/p/ag.html</w:t>
        </w:r>
      </w:hyperlink>
      <w:r w:rsidR="00D67FF7" w:rsidRPr="00FC2582">
        <w:rPr>
          <w:rFonts w:asciiTheme="minorHAnsi" w:hAnsiTheme="minorHAnsi" w:cstheme="minorHAnsi"/>
          <w:color w:val="auto"/>
          <w:sz w:val="26"/>
          <w:szCs w:val="26"/>
        </w:rPr>
        <w:t xml:space="preserve"> </w:t>
      </w:r>
    </w:p>
    <w:p w:rsidR="00D67FF7" w:rsidRPr="00FC2582" w:rsidRDefault="00D67FF7" w:rsidP="00D67FF7">
      <w:pPr>
        <w:autoSpaceDE w:val="0"/>
        <w:autoSpaceDN w:val="0"/>
        <w:adjustRightInd w:val="0"/>
        <w:jc w:val="both"/>
        <w:rPr>
          <w:rFonts w:asciiTheme="minorHAnsi" w:hAnsiTheme="minorHAnsi" w:cstheme="minorHAnsi"/>
          <w:color w:val="auto"/>
          <w:sz w:val="26"/>
          <w:szCs w:val="26"/>
        </w:rPr>
      </w:pPr>
    </w:p>
    <w:p w:rsidR="00D67FF7" w:rsidRPr="00FC2582" w:rsidRDefault="00D67FF7" w:rsidP="00D67FF7">
      <w:pPr>
        <w:pStyle w:val="Bodytext70"/>
        <w:shd w:val="clear" w:color="auto" w:fill="auto"/>
        <w:spacing w:after="0" w:line="240" w:lineRule="auto"/>
        <w:ind w:firstLine="0"/>
        <w:jc w:val="both"/>
        <w:rPr>
          <w:b w:val="0"/>
          <w:i w:val="0"/>
          <w:color w:val="auto"/>
        </w:rPr>
      </w:pPr>
    </w:p>
    <w:p w:rsidR="007A1BC0" w:rsidRPr="00FC2582" w:rsidRDefault="00D67FF7" w:rsidP="0056390B">
      <w:pPr>
        <w:pStyle w:val="Bodytext70"/>
        <w:shd w:val="clear" w:color="auto" w:fill="auto"/>
        <w:spacing w:after="0" w:line="240" w:lineRule="auto"/>
        <w:ind w:firstLine="0"/>
        <w:jc w:val="center"/>
        <w:rPr>
          <w:color w:val="auto"/>
        </w:rPr>
      </w:pPr>
      <w:r w:rsidRPr="00FC2582">
        <w:rPr>
          <w:rStyle w:val="Bodytext71"/>
          <w:bCs/>
          <w:i/>
          <w:iCs/>
          <w:color w:val="auto"/>
          <w:u w:val="none"/>
        </w:rPr>
        <w:t>Dreptul European al Drepturilor Omului</w:t>
      </w:r>
    </w:p>
    <w:p w:rsidR="00D80EF7" w:rsidRPr="00FC2582" w:rsidRDefault="00D80EF7" w:rsidP="00D80EF7">
      <w:pPr>
        <w:pStyle w:val="Heading20"/>
        <w:shd w:val="clear" w:color="auto" w:fill="auto"/>
        <w:tabs>
          <w:tab w:val="left" w:pos="387"/>
        </w:tabs>
        <w:spacing w:before="0" w:after="0" w:line="240" w:lineRule="auto"/>
        <w:ind w:firstLine="0"/>
        <w:jc w:val="both"/>
        <w:rPr>
          <w:color w:val="auto"/>
        </w:rPr>
      </w:pPr>
      <w:bookmarkStart w:id="6" w:name="bookmark42"/>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rPr>
        <w:t xml:space="preserve">1) </w:t>
      </w:r>
      <w:r w:rsidR="00CA67BE" w:rsidRPr="00FC2582">
        <w:rPr>
          <w:color w:val="auto"/>
        </w:rPr>
        <w:t>Accesul la justiţie în procesul civil în jurisprudenţa Curţii: teoria generală şi exemple de situaţii analizate</w:t>
      </w:r>
      <w:bookmarkEnd w:id="6"/>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Teoria generală a dreptului de acces la instanţă;</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Taxele de timbru şi alte restrângeri financiare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Prescripţia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Autoritatea de lucru judecat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Calitatea procesuală şi interesul ca aspecte ale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Căile extraordinare de atac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Inadmisibilitatea şi lipsa deplinei competenţe a instanţei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Accesul la instanţele superioare în căi de atac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Asistenţa judiciară ca aspect al accesului la justiţie;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Citarea şi comunicarea actelor de procedura în jurisprudenţa CEDO pe articolul 6.</w:t>
      </w:r>
    </w:p>
    <w:p w:rsidR="00D80EF7" w:rsidRPr="00FC2582" w:rsidRDefault="00D80EF7" w:rsidP="00D80EF7">
      <w:pPr>
        <w:pStyle w:val="Heading20"/>
        <w:shd w:val="clear" w:color="auto" w:fill="auto"/>
        <w:tabs>
          <w:tab w:val="left" w:pos="387"/>
        </w:tabs>
        <w:spacing w:before="0" w:after="0" w:line="240" w:lineRule="auto"/>
        <w:ind w:firstLine="0"/>
        <w:jc w:val="both"/>
        <w:rPr>
          <w:color w:val="auto"/>
        </w:rPr>
      </w:pPr>
      <w:bookmarkStart w:id="7" w:name="bookmark43"/>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rPr>
        <w:t xml:space="preserve">2. </w:t>
      </w:r>
      <w:r w:rsidR="00CA67BE" w:rsidRPr="00FC2582">
        <w:rPr>
          <w:color w:val="auto"/>
        </w:rPr>
        <w:t>Garanţii ale procesului civil echitabil în jurisprudenţa CEDO:</w:t>
      </w:r>
      <w:bookmarkEnd w:id="7"/>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Divergenţa de jurisprudenţă şi articolul 6 al Convenţiei: există un drept la jurisprudenţă unitară?</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Egalitatea armelor, principiu esenţial al procesului echitabil;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Contradictorialitatea, principiu esenţial al procesului echitabil;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Aplicarea retroactivă a unei legi noi în cursul unui proces civil deja început;</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Durata rezonabilă a procesului: calculul duratei şi exemple;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Durata rezonabilă a procesului: factori avuţi în vedere de Curte;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Remedii pentru durata excesivă a procesului;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Motivarea hotărârilor judecătoreşti;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lastRenderedPageBreak/>
        <w:t>Oralitatea şi publicitatea şedinţei de judecată şi a hotărârii în procesul civil;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 Executarea hotărârilor judecătoreşti pronunţate împotriva statului - aspect fundamental al unui proces echitabil.</w:t>
      </w:r>
    </w:p>
    <w:p w:rsidR="00D80EF7" w:rsidRPr="00FC2582" w:rsidRDefault="00D80EF7" w:rsidP="00D80EF7">
      <w:pPr>
        <w:pStyle w:val="Heading20"/>
        <w:shd w:val="clear" w:color="auto" w:fill="auto"/>
        <w:tabs>
          <w:tab w:val="left" w:pos="387"/>
        </w:tabs>
        <w:spacing w:before="0" w:after="0" w:line="240" w:lineRule="auto"/>
        <w:ind w:firstLine="0"/>
        <w:jc w:val="both"/>
        <w:rPr>
          <w:color w:val="auto"/>
        </w:rPr>
      </w:pPr>
      <w:bookmarkStart w:id="8" w:name="bookmark44"/>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rPr>
        <w:t xml:space="preserve">3) </w:t>
      </w:r>
      <w:r w:rsidR="00CA67BE" w:rsidRPr="00FC2582">
        <w:rPr>
          <w:color w:val="auto"/>
        </w:rPr>
        <w:t>Articolul 1 al Protocolului nr. 1: noţiunea de bun în sensul Convenţiei şi ingerinţe în dreptul la bun:</w:t>
      </w:r>
      <w:bookmarkEnd w:id="8"/>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Noţiunea de „interes patrimonial". Exemple şi forme juridice în jurisprudenţă privind </w:t>
      </w:r>
      <w:r w:rsidRPr="00FC2582">
        <w:rPr>
          <w:color w:val="auto"/>
          <w:lang w:val="fr-FR" w:eastAsia="en-US" w:bidi="en-US"/>
        </w:rPr>
        <w:t xml:space="preserve">art. </w:t>
      </w:r>
      <w:r w:rsidRPr="00FC2582">
        <w:rPr>
          <w:color w:val="auto"/>
        </w:rPr>
        <w:t>1 al Protocolului nr. 1;</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Noţiunea de „bun actual";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Noţiunea de „speranţă legitimă";</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Noţiunea de „ingerinţă" în cazul articolului 1 al Protocolului nr. 1 şi exemple;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Tipurile ingerinţei în dreptul la respectarea bunurilor;</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 Privarea de proprietate: definiţie, exemple şi specificitate în aprecierea proporţionalităţii;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Reglementarea folosinţei bunurilor: definire şi exemple;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Regula generală privind protecţia bunurilor: exemple de aplicare în jurisprudenţa</w:t>
      </w:r>
      <w:r w:rsidR="00D80EF7" w:rsidRPr="00FC2582">
        <w:rPr>
          <w:color w:val="auto"/>
        </w:rPr>
        <w:t xml:space="preserve"> </w:t>
      </w:r>
      <w:r w:rsidRPr="00FC2582">
        <w:rPr>
          <w:color w:val="auto"/>
        </w:rPr>
        <w:t>Curţii;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Situaţii în care reclamantul beneficiază de protecţia articolului 1 al Protocolului nr. 1 deşi nu are un drept subiectiv în sistemul intern al statului membru;</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Obligaţiile pozitive ale statului în baza articolului 1 al Protocolului nr. 1.</w:t>
      </w:r>
    </w:p>
    <w:p w:rsidR="00D80EF7" w:rsidRPr="00FC2582" w:rsidRDefault="00D80EF7" w:rsidP="00D80EF7">
      <w:pPr>
        <w:pStyle w:val="Bodytext20"/>
        <w:shd w:val="clear" w:color="auto" w:fill="auto"/>
        <w:tabs>
          <w:tab w:val="left" w:pos="540"/>
        </w:tabs>
        <w:spacing w:before="0" w:after="0" w:line="240" w:lineRule="auto"/>
        <w:ind w:left="270" w:firstLine="0"/>
        <w:rPr>
          <w:color w:val="auto"/>
        </w:rPr>
      </w:pPr>
    </w:p>
    <w:p w:rsidR="007A1BC0" w:rsidRPr="00FC2582" w:rsidRDefault="00D80EF7" w:rsidP="00D80EF7">
      <w:pPr>
        <w:pStyle w:val="Heading20"/>
        <w:shd w:val="clear" w:color="auto" w:fill="auto"/>
        <w:spacing w:before="0" w:after="0" w:line="240" w:lineRule="auto"/>
        <w:ind w:firstLine="0"/>
        <w:jc w:val="both"/>
        <w:rPr>
          <w:color w:val="auto"/>
        </w:rPr>
      </w:pPr>
      <w:bookmarkStart w:id="9" w:name="bookmark45"/>
      <w:r w:rsidRPr="00FC2582">
        <w:rPr>
          <w:color w:val="auto"/>
        </w:rPr>
        <w:t xml:space="preserve">4) </w:t>
      </w:r>
      <w:r w:rsidR="00CA67BE" w:rsidRPr="00FC2582">
        <w:rPr>
          <w:color w:val="auto"/>
        </w:rPr>
        <w:t>Articolul 1 al Protocolului nr. 1 - condiţiile ingerinţei: să fie prevăzută de lege, să urmărească un scop legitim, să fie proporţională</w:t>
      </w:r>
      <w:bookmarkEnd w:id="9"/>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Noţiunea de „lege";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Statutul jurisprudenţei instanţelor naţionale şi importanţa acesteia în cadrul noţiunii de „lege";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Calităţile legii: accesibilitate şi previzibilitate;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Divergenţele de jurisprudenţă - articolul 1 al Protocolului nr. 1 şi articolul 6 al Convenţiei;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Scopul legitim al ingerinţei în cazul articolului 1 al Protocolului nr. 1: definire şi exemple;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Proporţionalitatea ingerinţei în cazul articolului 1 al Protocolului nr. 1: factori de apreciere.</w:t>
      </w:r>
    </w:p>
    <w:p w:rsidR="00D80EF7" w:rsidRPr="00FC2582" w:rsidRDefault="00D80EF7" w:rsidP="00D80EF7">
      <w:pPr>
        <w:pStyle w:val="Heading20"/>
        <w:shd w:val="clear" w:color="auto" w:fill="auto"/>
        <w:tabs>
          <w:tab w:val="left" w:pos="382"/>
        </w:tabs>
        <w:spacing w:before="0" w:after="0" w:line="240" w:lineRule="auto"/>
        <w:ind w:firstLine="0"/>
        <w:jc w:val="both"/>
        <w:rPr>
          <w:color w:val="auto"/>
        </w:rPr>
      </w:pPr>
      <w:bookmarkStart w:id="10" w:name="bookmark46"/>
    </w:p>
    <w:p w:rsidR="007A1BC0" w:rsidRPr="00FC2582" w:rsidRDefault="00D80EF7" w:rsidP="00D80EF7">
      <w:pPr>
        <w:pStyle w:val="Heading20"/>
        <w:shd w:val="clear" w:color="auto" w:fill="auto"/>
        <w:tabs>
          <w:tab w:val="left" w:pos="382"/>
        </w:tabs>
        <w:spacing w:before="0" w:after="0" w:line="240" w:lineRule="auto"/>
        <w:ind w:firstLine="0"/>
        <w:jc w:val="both"/>
        <w:rPr>
          <w:color w:val="auto"/>
        </w:rPr>
      </w:pPr>
      <w:r w:rsidRPr="00FC2582">
        <w:rPr>
          <w:color w:val="auto"/>
        </w:rPr>
        <w:t xml:space="preserve">5) </w:t>
      </w:r>
      <w:r w:rsidR="00CA67BE" w:rsidRPr="00FC2582">
        <w:rPr>
          <w:color w:val="auto"/>
        </w:rPr>
        <w:t>Articolul 1 al Protocolului nr. 1: mari tipuri de cauze împotriva României</w:t>
      </w:r>
      <w:bookmarkEnd w:id="10"/>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proofErr w:type="spellStart"/>
      <w:r w:rsidRPr="00FC2582">
        <w:rPr>
          <w:color w:val="auto"/>
        </w:rPr>
        <w:t>Competenţa</w:t>
      </w:r>
      <w:proofErr w:type="spellEnd"/>
      <w:r w:rsidRPr="00FC2582">
        <w:rPr>
          <w:color w:val="auto"/>
        </w:rPr>
        <w:t xml:space="preserve"> </w:t>
      </w:r>
      <w:proofErr w:type="spellStart"/>
      <w:r w:rsidRPr="00FC2582">
        <w:rPr>
          <w:rStyle w:val="Bodytext2Italic"/>
          <w:color w:val="auto"/>
        </w:rPr>
        <w:t>ratione</w:t>
      </w:r>
      <w:proofErr w:type="spellEnd"/>
      <w:r w:rsidRPr="00FC2582">
        <w:rPr>
          <w:rStyle w:val="Bodytext2Italic"/>
          <w:color w:val="auto"/>
        </w:rPr>
        <w:t xml:space="preserve"> </w:t>
      </w:r>
      <w:proofErr w:type="spellStart"/>
      <w:r w:rsidRPr="00FC2582">
        <w:rPr>
          <w:rStyle w:val="Bodytext2Italic"/>
          <w:color w:val="auto"/>
        </w:rPr>
        <w:t>temporis</w:t>
      </w:r>
      <w:proofErr w:type="spellEnd"/>
      <w:r w:rsidRPr="00FC2582">
        <w:rPr>
          <w:color w:val="auto"/>
        </w:rPr>
        <w:t xml:space="preserve"> a </w:t>
      </w:r>
      <w:r w:rsidR="0056761D" w:rsidRPr="00FC2582">
        <w:rPr>
          <w:color w:val="auto"/>
        </w:rPr>
        <w:t>Curții</w:t>
      </w:r>
      <w:r w:rsidRPr="00FC2582">
        <w:rPr>
          <w:color w:val="auto"/>
        </w:rPr>
        <w:t xml:space="preserve"> în contextul caselor naţionalizate;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Situaţii în jurisprudenţa Curţii privind casele naţionalizate împotriva României din perspectiva existenţei „bunului" în patrimoniul reclamantului;</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Dreptul la despăgubiri pentru privare de proprietate;</w:t>
      </w:r>
    </w:p>
    <w:p w:rsidR="007A1BC0" w:rsidRPr="00FC2582" w:rsidRDefault="00CA67BE" w:rsidP="00D80EF7">
      <w:pPr>
        <w:pStyle w:val="Bodytext90"/>
        <w:numPr>
          <w:ilvl w:val="0"/>
          <w:numId w:val="18"/>
        </w:numPr>
        <w:shd w:val="clear" w:color="auto" w:fill="auto"/>
        <w:tabs>
          <w:tab w:val="left" w:pos="630"/>
        </w:tabs>
        <w:spacing w:before="0" w:after="0" w:line="240" w:lineRule="auto"/>
        <w:ind w:firstLine="270"/>
        <w:rPr>
          <w:color w:val="auto"/>
        </w:rPr>
      </w:pPr>
      <w:r w:rsidRPr="00FC2582">
        <w:rPr>
          <w:rStyle w:val="Bodytext9NotItalic0"/>
          <w:color w:val="auto"/>
        </w:rPr>
        <w:t xml:space="preserve">Cauzele de tip </w:t>
      </w:r>
      <w:r w:rsidRPr="00FC2582">
        <w:rPr>
          <w:color w:val="auto"/>
        </w:rPr>
        <w:t>Brumărescu împotriva României;</w:t>
      </w:r>
    </w:p>
    <w:p w:rsidR="007A1BC0" w:rsidRPr="00FC2582" w:rsidRDefault="00CA67BE" w:rsidP="00D80EF7">
      <w:pPr>
        <w:pStyle w:val="Bodytext90"/>
        <w:numPr>
          <w:ilvl w:val="0"/>
          <w:numId w:val="18"/>
        </w:numPr>
        <w:shd w:val="clear" w:color="auto" w:fill="auto"/>
        <w:tabs>
          <w:tab w:val="left" w:pos="630"/>
        </w:tabs>
        <w:spacing w:before="0" w:after="0" w:line="240" w:lineRule="auto"/>
        <w:ind w:firstLine="270"/>
        <w:rPr>
          <w:color w:val="auto"/>
        </w:rPr>
      </w:pPr>
      <w:r w:rsidRPr="00FC2582">
        <w:rPr>
          <w:rStyle w:val="Bodytext9NotItalic0"/>
          <w:color w:val="auto"/>
        </w:rPr>
        <w:t xml:space="preserve">Cauzele de tip </w:t>
      </w:r>
      <w:r w:rsidRPr="00FC2582">
        <w:rPr>
          <w:color w:val="auto"/>
        </w:rPr>
        <w:t>Străin/Păduraru împotriva României;</w:t>
      </w:r>
    </w:p>
    <w:p w:rsidR="007A1BC0" w:rsidRPr="00FC2582" w:rsidRDefault="00CA67BE" w:rsidP="00D80EF7">
      <w:pPr>
        <w:pStyle w:val="Bodytext90"/>
        <w:numPr>
          <w:ilvl w:val="0"/>
          <w:numId w:val="18"/>
        </w:numPr>
        <w:shd w:val="clear" w:color="auto" w:fill="auto"/>
        <w:tabs>
          <w:tab w:val="left" w:pos="630"/>
        </w:tabs>
        <w:spacing w:before="0" w:after="0" w:line="240" w:lineRule="auto"/>
        <w:ind w:firstLine="270"/>
        <w:rPr>
          <w:color w:val="auto"/>
        </w:rPr>
      </w:pPr>
      <w:proofErr w:type="spellStart"/>
      <w:r w:rsidRPr="00FC2582">
        <w:rPr>
          <w:color w:val="auto"/>
        </w:rPr>
        <w:t>Viasu</w:t>
      </w:r>
      <w:proofErr w:type="spellEnd"/>
      <w:r w:rsidRPr="00FC2582">
        <w:rPr>
          <w:color w:val="auto"/>
        </w:rPr>
        <w:t xml:space="preserve"> împotriva României şi </w:t>
      </w:r>
      <w:r w:rsidRPr="00FC2582">
        <w:rPr>
          <w:color w:val="auto"/>
          <w:lang w:eastAsia="en-US" w:bidi="en-US"/>
        </w:rPr>
        <w:t xml:space="preserve">Maria </w:t>
      </w:r>
      <w:r w:rsidRPr="00FC2582">
        <w:rPr>
          <w:color w:val="auto"/>
        </w:rPr>
        <w:t>Atanasiu c. României:</w:t>
      </w:r>
      <w:r w:rsidRPr="00FC2582">
        <w:rPr>
          <w:rStyle w:val="Bodytext9NotItalic0"/>
          <w:color w:val="auto"/>
        </w:rPr>
        <w:t xml:space="preserve"> analiză şi consecinţe;</w:t>
      </w:r>
    </w:p>
    <w:p w:rsidR="007A1BC0" w:rsidRPr="00FC2582" w:rsidRDefault="00CA67BE" w:rsidP="00D80EF7">
      <w:pPr>
        <w:pStyle w:val="Bodytext90"/>
        <w:numPr>
          <w:ilvl w:val="0"/>
          <w:numId w:val="18"/>
        </w:numPr>
        <w:shd w:val="clear" w:color="auto" w:fill="auto"/>
        <w:tabs>
          <w:tab w:val="left" w:pos="630"/>
        </w:tabs>
        <w:spacing w:before="0" w:after="0" w:line="240" w:lineRule="auto"/>
        <w:ind w:firstLine="270"/>
        <w:rPr>
          <w:color w:val="auto"/>
        </w:rPr>
      </w:pPr>
      <w:proofErr w:type="spellStart"/>
      <w:r w:rsidRPr="00FC2582">
        <w:rPr>
          <w:color w:val="auto"/>
        </w:rPr>
        <w:t>Faimblat</w:t>
      </w:r>
      <w:proofErr w:type="spellEnd"/>
      <w:r w:rsidRPr="00FC2582">
        <w:rPr>
          <w:color w:val="auto"/>
        </w:rPr>
        <w:t xml:space="preserve"> împotriva României:</w:t>
      </w:r>
      <w:r w:rsidRPr="00FC2582">
        <w:rPr>
          <w:rStyle w:val="Bodytext9NotItalic0"/>
          <w:color w:val="auto"/>
        </w:rPr>
        <w:t xml:space="preserve"> analiză şi consecinţe;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 xml:space="preserve">Neexecutarea hotărârilor judecătoreşti în problematica Legii nr. 18/1991 în </w:t>
      </w:r>
      <w:r w:rsidRPr="00FC2582">
        <w:rPr>
          <w:color w:val="auto"/>
        </w:rPr>
        <w:lastRenderedPageBreak/>
        <w:t>jurisprudenţa Curţii împotriva României;</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Închirierea caselor naţionalizate: cauze la Curte şi consecinţe;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Chiriaşii în casele naţionalizate - analiză a jurisprudenţei Curţii împotriva altor state;</w:t>
      </w:r>
    </w:p>
    <w:p w:rsidR="00D80EF7" w:rsidRPr="00FC2582" w:rsidRDefault="00D80EF7" w:rsidP="00D80EF7">
      <w:pPr>
        <w:pStyle w:val="Heading20"/>
        <w:shd w:val="clear" w:color="auto" w:fill="auto"/>
        <w:tabs>
          <w:tab w:val="left" w:pos="387"/>
        </w:tabs>
        <w:spacing w:before="0" w:after="0" w:line="240" w:lineRule="auto"/>
        <w:ind w:firstLine="0"/>
        <w:jc w:val="both"/>
        <w:rPr>
          <w:color w:val="auto"/>
        </w:rPr>
      </w:pPr>
      <w:bookmarkStart w:id="11" w:name="bookmark47"/>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rPr>
        <w:t xml:space="preserve">6) </w:t>
      </w:r>
      <w:r w:rsidR="00CA67BE" w:rsidRPr="00FC2582">
        <w:rPr>
          <w:color w:val="auto"/>
        </w:rPr>
        <w:t>Libertatea de exprimare în jurisprudenţa CEDO</w:t>
      </w:r>
      <w:bookmarkEnd w:id="11"/>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Aprecierea proporţionalităţii ingerinţei în libertatea de exprimare;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Limitele criticii admisibile în cazul libertăţii de exprimare;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Titularul discursului şi limitele libertăţii de exprimare;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Ingerinţe în libertatea de exprimare: exemple şi rezumate de cauze;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Factori în aprecierea necesităţii unei ingerinţe în libertatea de exprimare;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Fapte şi judecăţi de valoare în libertatea de exprimare;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Circumstanţele cauzei, natura şi impactul discursului în aprecierea necesităţii ingerinţei în libertatea de exprimare;</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Critica oamenilor politici în lumina jurisprudenţei CEDO;</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Dreptul avocaţilor la libertatea de exprimare în faţa instanţelor;</w:t>
      </w:r>
    </w:p>
    <w:p w:rsidR="007A1BC0" w:rsidRPr="00FC2582" w:rsidRDefault="00CA67BE" w:rsidP="00D80EF7">
      <w:pPr>
        <w:pStyle w:val="Bodytext20"/>
        <w:numPr>
          <w:ilvl w:val="0"/>
          <w:numId w:val="18"/>
        </w:numPr>
        <w:shd w:val="clear" w:color="auto" w:fill="auto"/>
        <w:tabs>
          <w:tab w:val="left" w:pos="630"/>
        </w:tabs>
        <w:spacing w:before="0" w:after="0" w:line="240" w:lineRule="auto"/>
        <w:ind w:firstLine="270"/>
        <w:rPr>
          <w:color w:val="auto"/>
        </w:rPr>
      </w:pPr>
      <w:r w:rsidRPr="00FC2582">
        <w:rPr>
          <w:color w:val="auto"/>
        </w:rPr>
        <w:t>Presa şi libertatea de exprimare.</w:t>
      </w:r>
    </w:p>
    <w:p w:rsidR="00D80EF7" w:rsidRPr="00FC2582" w:rsidRDefault="00D80EF7" w:rsidP="00D80EF7">
      <w:pPr>
        <w:pStyle w:val="Heading20"/>
        <w:shd w:val="clear" w:color="auto" w:fill="auto"/>
        <w:tabs>
          <w:tab w:val="left" w:pos="387"/>
        </w:tabs>
        <w:spacing w:before="0" w:after="0" w:line="240" w:lineRule="auto"/>
        <w:ind w:firstLine="0"/>
        <w:jc w:val="both"/>
        <w:rPr>
          <w:color w:val="auto"/>
          <w:lang w:val="fr-FR" w:eastAsia="en-US" w:bidi="en-US"/>
        </w:rPr>
      </w:pPr>
      <w:bookmarkStart w:id="12" w:name="bookmark48"/>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lang w:val="en-US" w:eastAsia="en-US" w:bidi="en-US"/>
        </w:rPr>
        <w:t xml:space="preserve">7) </w:t>
      </w:r>
      <w:r w:rsidR="00CA67BE" w:rsidRPr="00FC2582">
        <w:rPr>
          <w:color w:val="auto"/>
        </w:rPr>
        <w:t>Privarea de libertate în jurisprudenţa CEDO</w:t>
      </w:r>
      <w:bookmarkEnd w:id="12"/>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Privare de libertate - definire şi exemple;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Legalitatea privării de libertate;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rStyle w:val="Bodytext2Italic"/>
          <w:color w:val="auto"/>
        </w:rPr>
        <w:t>Pantea c. României</w:t>
      </w:r>
      <w:r w:rsidRPr="00FC2582">
        <w:rPr>
          <w:color w:val="auto"/>
        </w:rPr>
        <w:t>: context, rezumat şi consecinţe;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În ce condiţii permite articolul 5 paragraf 1 litera b), respectiv litera a), privarea de libertate a unei persoane?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În ce condiţii permite articolul 5 litera c) privarea de libertate?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 Dreptul de a fi informat despre motivele arestării - </w:t>
      </w:r>
      <w:r w:rsidRPr="00FC2582">
        <w:rPr>
          <w:color w:val="auto"/>
          <w:lang w:val="en-US" w:eastAsia="en-US" w:bidi="en-US"/>
        </w:rPr>
        <w:t xml:space="preserve">art. </w:t>
      </w:r>
      <w:r w:rsidRPr="00FC2582">
        <w:rPr>
          <w:color w:val="auto"/>
        </w:rPr>
        <w:t>5 alin. 2;</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 Dreptul de a fi adus „de îndată" în faţa unui magistrat - </w:t>
      </w:r>
      <w:r w:rsidRPr="00FC2582">
        <w:rPr>
          <w:color w:val="auto"/>
          <w:lang w:val="fr-FR" w:eastAsia="en-US" w:bidi="en-US"/>
        </w:rPr>
        <w:t xml:space="preserve">art. </w:t>
      </w:r>
      <w:r w:rsidRPr="00FC2582">
        <w:rPr>
          <w:color w:val="auto"/>
        </w:rPr>
        <w:t>5 alin. 3;</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Durata arestării preventive: mod de apreciere;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Dreptul la o cale de recurs în cazul măsurilor privative de libertate - articolul 5 alin. 4; garanţiile căii de atac (acces, instanţă, garanţii de procedură);</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Dreptul la despăgubiri în cazul privării de libertate - </w:t>
      </w:r>
      <w:r w:rsidRPr="00FC2582">
        <w:rPr>
          <w:color w:val="auto"/>
          <w:lang w:val="fr-FR" w:eastAsia="en-US" w:bidi="en-US"/>
        </w:rPr>
        <w:t xml:space="preserve">art. </w:t>
      </w:r>
      <w:r w:rsidRPr="00FC2582">
        <w:rPr>
          <w:color w:val="auto"/>
        </w:rPr>
        <w:t>5 alin. 5;</w:t>
      </w:r>
    </w:p>
    <w:p w:rsidR="00D80EF7" w:rsidRPr="00FC2582" w:rsidRDefault="00D80EF7" w:rsidP="00D80EF7">
      <w:pPr>
        <w:pStyle w:val="Heading20"/>
        <w:shd w:val="clear" w:color="auto" w:fill="auto"/>
        <w:tabs>
          <w:tab w:val="left" w:pos="387"/>
        </w:tabs>
        <w:spacing w:before="0" w:after="0" w:line="240" w:lineRule="auto"/>
        <w:ind w:firstLine="0"/>
        <w:jc w:val="both"/>
        <w:rPr>
          <w:color w:val="auto"/>
        </w:rPr>
      </w:pPr>
      <w:bookmarkStart w:id="13" w:name="bookmark49"/>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rPr>
        <w:t xml:space="preserve">8) </w:t>
      </w:r>
      <w:r w:rsidR="00CA67BE" w:rsidRPr="00FC2582">
        <w:rPr>
          <w:color w:val="auto"/>
        </w:rPr>
        <w:t>Procesul penal în jurisprudenţa CEDO - garanţiile generale</w:t>
      </w:r>
      <w:bookmarkEnd w:id="13"/>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Aplicabilitatea articolului 6 pe latura penală;</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Egalitatea armelor în procesul penal;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Contradictorialitatea în procesul penal;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Prezenţa personală a inculpatului în instanţă în procesul penal;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Publicitatea şedinţei de judecată în procesul penal;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Probele în procesul penal; probe ilegale, probe ce încalcă articolul 8 din Convenţie, probe ce încalcă articolul 3 din Convenţie;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Instanţa „instituită de lege";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Instanţa independentă;</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Instanţa imparţială;</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Audierea inculpatului în apel şi recurs: Constantinescu şi altele.</w:t>
      </w:r>
    </w:p>
    <w:p w:rsidR="00D80EF7" w:rsidRPr="00FC2582" w:rsidRDefault="00D80EF7" w:rsidP="00D80EF7">
      <w:pPr>
        <w:pStyle w:val="Heading20"/>
        <w:shd w:val="clear" w:color="auto" w:fill="auto"/>
        <w:tabs>
          <w:tab w:val="left" w:pos="387"/>
        </w:tabs>
        <w:spacing w:before="0" w:after="0" w:line="240" w:lineRule="auto"/>
        <w:ind w:firstLine="0"/>
        <w:jc w:val="both"/>
        <w:rPr>
          <w:color w:val="auto"/>
        </w:rPr>
      </w:pPr>
      <w:bookmarkStart w:id="14" w:name="bookmark50"/>
    </w:p>
    <w:p w:rsidR="007A1BC0" w:rsidRPr="00FC2582" w:rsidRDefault="00D80EF7" w:rsidP="00D80EF7">
      <w:pPr>
        <w:pStyle w:val="Heading20"/>
        <w:shd w:val="clear" w:color="auto" w:fill="auto"/>
        <w:tabs>
          <w:tab w:val="left" w:pos="387"/>
        </w:tabs>
        <w:spacing w:before="0" w:after="0" w:line="240" w:lineRule="auto"/>
        <w:ind w:firstLine="0"/>
        <w:jc w:val="both"/>
        <w:rPr>
          <w:color w:val="auto"/>
        </w:rPr>
      </w:pPr>
      <w:r w:rsidRPr="00FC2582">
        <w:rPr>
          <w:color w:val="auto"/>
        </w:rPr>
        <w:t xml:space="preserve">9) </w:t>
      </w:r>
      <w:r w:rsidR="00CA67BE" w:rsidRPr="00FC2582">
        <w:rPr>
          <w:color w:val="auto"/>
        </w:rPr>
        <w:t>Procesul penal în jurisprudenţa CEDO - garanţiile speciale</w:t>
      </w:r>
      <w:bookmarkEnd w:id="14"/>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Schimbarea încadrării juridice şi </w:t>
      </w:r>
      <w:r w:rsidRPr="00FC2582">
        <w:rPr>
          <w:color w:val="auto"/>
          <w:lang w:val="en-US" w:eastAsia="en-US" w:bidi="en-US"/>
        </w:rPr>
        <w:t xml:space="preserve">art. </w:t>
      </w:r>
      <w:r w:rsidRPr="00FC2582">
        <w:rPr>
          <w:color w:val="auto"/>
        </w:rPr>
        <w:t xml:space="preserve">6 alin. 3 </w:t>
      </w:r>
      <w:r w:rsidRPr="00FC2582">
        <w:rPr>
          <w:color w:val="auto"/>
          <w:lang w:val="en-US" w:eastAsia="en-US" w:bidi="en-US"/>
        </w:rPr>
        <w:t xml:space="preserve">lit. </w:t>
      </w:r>
      <w:r w:rsidRPr="00FC2582">
        <w:rPr>
          <w:color w:val="auto"/>
        </w:rPr>
        <w:t>a) şi b);</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Prezumţia de nevinovăţie în sensul articolului 6 paragraf 2 din Convenţie;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 xml:space="preserve">Dreptul de a nu te </w:t>
      </w:r>
      <w:proofErr w:type="spellStart"/>
      <w:r w:rsidRPr="00FC2582">
        <w:rPr>
          <w:color w:val="auto"/>
        </w:rPr>
        <w:t>autoincrimina</w:t>
      </w:r>
      <w:proofErr w:type="spellEnd"/>
      <w:r w:rsidRPr="00FC2582">
        <w:rPr>
          <w:color w:val="auto"/>
        </w:rPr>
        <w:t>;</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Judecarea în lipsă în procesul penal;</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Agenţi provocatori;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Martori anonimi;</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Dreptul la apărare în jurisprudenţa CEDO: apărarea de către un avocat;</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Dreptul la un interpret;</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Dreptul de a fi informat de „acuzaţie";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Dreptul de a i se acorda timpul şi facilităţile necesare;</w:t>
      </w:r>
    </w:p>
    <w:p w:rsidR="007A1BC0" w:rsidRPr="00FC2582" w:rsidRDefault="00CA67BE" w:rsidP="00D80EF7">
      <w:pPr>
        <w:pStyle w:val="Bodytext20"/>
        <w:numPr>
          <w:ilvl w:val="0"/>
          <w:numId w:val="18"/>
        </w:numPr>
        <w:shd w:val="clear" w:color="auto" w:fill="auto"/>
        <w:tabs>
          <w:tab w:val="left" w:pos="540"/>
        </w:tabs>
        <w:spacing w:before="0" w:after="0" w:line="240" w:lineRule="auto"/>
        <w:ind w:firstLine="270"/>
        <w:rPr>
          <w:color w:val="auto"/>
        </w:rPr>
      </w:pPr>
      <w:r w:rsidRPr="00FC2582">
        <w:rPr>
          <w:color w:val="auto"/>
        </w:rPr>
        <w:t>Dreptul de a pune întrebări martorilor.</w:t>
      </w:r>
    </w:p>
    <w:p w:rsidR="00D80EF7" w:rsidRPr="00FC2582" w:rsidRDefault="00D80EF7" w:rsidP="00D80EF7">
      <w:pPr>
        <w:pStyle w:val="Headerorfooter20"/>
        <w:shd w:val="clear" w:color="auto" w:fill="auto"/>
        <w:spacing w:line="240" w:lineRule="auto"/>
        <w:rPr>
          <w:rStyle w:val="Headerorfooter21"/>
          <w:b/>
          <w:bCs/>
          <w:i/>
          <w:iCs/>
          <w:color w:val="auto"/>
        </w:rPr>
      </w:pPr>
    </w:p>
    <w:p w:rsidR="00D80EF7" w:rsidRPr="00FC2582" w:rsidRDefault="00D80EF7" w:rsidP="00D80EF7">
      <w:pPr>
        <w:pStyle w:val="Headerorfooter20"/>
        <w:shd w:val="clear" w:color="auto" w:fill="auto"/>
        <w:spacing w:line="240" w:lineRule="auto"/>
        <w:rPr>
          <w:rStyle w:val="Headerorfooter21"/>
          <w:b/>
          <w:bCs/>
          <w:i/>
          <w:iCs/>
          <w:color w:val="auto"/>
        </w:rPr>
      </w:pPr>
    </w:p>
    <w:p w:rsidR="007A1BC0" w:rsidRPr="00FC2582" w:rsidRDefault="00D80EF7" w:rsidP="0056390B">
      <w:pPr>
        <w:pStyle w:val="Headerorfooter20"/>
        <w:shd w:val="clear" w:color="auto" w:fill="auto"/>
        <w:spacing w:line="240" w:lineRule="auto"/>
        <w:jc w:val="center"/>
        <w:rPr>
          <w:rStyle w:val="Headerorfooter21"/>
          <w:bCs/>
          <w:i/>
          <w:iCs/>
          <w:color w:val="auto"/>
          <w:sz w:val="26"/>
          <w:szCs w:val="26"/>
          <w:u w:val="none"/>
        </w:rPr>
      </w:pPr>
      <w:r w:rsidRPr="00FC2582">
        <w:rPr>
          <w:rStyle w:val="Headerorfooter21"/>
          <w:bCs/>
          <w:i/>
          <w:iCs/>
          <w:color w:val="auto"/>
          <w:sz w:val="26"/>
          <w:szCs w:val="26"/>
          <w:u w:val="none"/>
        </w:rPr>
        <w:t>Dreptul european al muncii.</w:t>
      </w:r>
    </w:p>
    <w:p w:rsidR="00D80EF7" w:rsidRPr="00FC2582" w:rsidRDefault="00D80EF7" w:rsidP="00D80EF7">
      <w:pPr>
        <w:pStyle w:val="Headerorfooter20"/>
        <w:shd w:val="clear" w:color="auto" w:fill="auto"/>
        <w:spacing w:line="240" w:lineRule="auto"/>
        <w:rPr>
          <w:i w:val="0"/>
          <w:color w:val="auto"/>
          <w:sz w:val="26"/>
          <w:szCs w:val="26"/>
        </w:rPr>
      </w:pPr>
    </w:p>
    <w:p w:rsidR="007A1BC0" w:rsidRPr="00FC2582" w:rsidRDefault="00D80EF7" w:rsidP="00D80EF7">
      <w:pPr>
        <w:pStyle w:val="Heading20"/>
        <w:shd w:val="clear" w:color="auto" w:fill="auto"/>
        <w:tabs>
          <w:tab w:val="left" w:pos="768"/>
        </w:tabs>
        <w:spacing w:before="0" w:after="0" w:line="240" w:lineRule="auto"/>
        <w:ind w:firstLine="0"/>
        <w:jc w:val="left"/>
        <w:rPr>
          <w:color w:val="auto"/>
        </w:rPr>
      </w:pPr>
      <w:bookmarkStart w:id="15" w:name="bookmark57"/>
      <w:r w:rsidRPr="00FC2582">
        <w:rPr>
          <w:color w:val="auto"/>
        </w:rPr>
        <w:t xml:space="preserve">1. </w:t>
      </w:r>
      <w:r w:rsidR="00CA67BE" w:rsidRPr="00FC2582">
        <w:rPr>
          <w:color w:val="auto"/>
        </w:rPr>
        <w:t>POLITICILE UNIUNII EUROPENE DE OCUPARE A FORŢEI DE MUNCĂ ŞI DE FORMARE PROFESIONALĂ</w:t>
      </w:r>
      <w:bookmarkEnd w:id="15"/>
    </w:p>
    <w:p w:rsidR="007A1BC0" w:rsidRPr="00FC2582" w:rsidRDefault="00CA67BE" w:rsidP="00D80EF7">
      <w:pPr>
        <w:pStyle w:val="Bodytext20"/>
        <w:numPr>
          <w:ilvl w:val="0"/>
          <w:numId w:val="46"/>
        </w:numPr>
        <w:shd w:val="clear" w:color="auto" w:fill="auto"/>
        <w:tabs>
          <w:tab w:val="left" w:pos="900"/>
        </w:tabs>
        <w:spacing w:before="0" w:after="0" w:line="240" w:lineRule="auto"/>
        <w:ind w:left="720" w:hanging="360"/>
        <w:rPr>
          <w:color w:val="auto"/>
        </w:rPr>
      </w:pPr>
      <w:r w:rsidRPr="00FC2582">
        <w:rPr>
          <w:color w:val="auto"/>
        </w:rPr>
        <w:t>Factorii care determină elaborarea de politici de ocupare a forţei de muncă</w:t>
      </w:r>
    </w:p>
    <w:p w:rsidR="007A1BC0" w:rsidRPr="00FC2582" w:rsidRDefault="00CA67BE" w:rsidP="00D80EF7">
      <w:pPr>
        <w:pStyle w:val="Bodytext20"/>
        <w:numPr>
          <w:ilvl w:val="0"/>
          <w:numId w:val="46"/>
        </w:numPr>
        <w:shd w:val="clear" w:color="auto" w:fill="auto"/>
        <w:tabs>
          <w:tab w:val="left" w:pos="900"/>
        </w:tabs>
        <w:spacing w:before="0" w:after="0" w:line="240" w:lineRule="auto"/>
        <w:ind w:left="720" w:hanging="360"/>
        <w:rPr>
          <w:color w:val="auto"/>
        </w:rPr>
      </w:pPr>
      <w:r w:rsidRPr="00FC2582">
        <w:rPr>
          <w:color w:val="auto"/>
        </w:rPr>
        <w:t>Coordonarea politicilor de ocupare a forţei de muncă în UE</w:t>
      </w:r>
    </w:p>
    <w:p w:rsidR="007A1BC0" w:rsidRPr="00FC2582" w:rsidRDefault="00CA67BE" w:rsidP="00D80EF7">
      <w:pPr>
        <w:pStyle w:val="Bodytext20"/>
        <w:numPr>
          <w:ilvl w:val="0"/>
          <w:numId w:val="46"/>
        </w:numPr>
        <w:shd w:val="clear" w:color="auto" w:fill="auto"/>
        <w:tabs>
          <w:tab w:val="left" w:pos="900"/>
        </w:tabs>
        <w:spacing w:before="0" w:after="0" w:line="240" w:lineRule="auto"/>
        <w:ind w:left="720" w:hanging="360"/>
        <w:rPr>
          <w:color w:val="auto"/>
        </w:rPr>
      </w:pPr>
      <w:r w:rsidRPr="00FC2582">
        <w:rPr>
          <w:color w:val="auto"/>
        </w:rPr>
        <w:t>Accesul pe piaţa muncii</w:t>
      </w:r>
    </w:p>
    <w:p w:rsidR="007A1BC0" w:rsidRPr="00FC2582" w:rsidRDefault="00CA67BE" w:rsidP="008610EC">
      <w:pPr>
        <w:pStyle w:val="Bodytext20"/>
        <w:numPr>
          <w:ilvl w:val="0"/>
          <w:numId w:val="24"/>
        </w:numPr>
        <w:shd w:val="clear" w:color="auto" w:fill="auto"/>
        <w:tabs>
          <w:tab w:val="left" w:pos="2212"/>
        </w:tabs>
        <w:spacing w:before="0" w:after="0" w:line="240" w:lineRule="auto"/>
        <w:ind w:left="360" w:hanging="360"/>
        <w:rPr>
          <w:color w:val="auto"/>
        </w:rPr>
      </w:pPr>
      <w:r w:rsidRPr="00FC2582">
        <w:rPr>
          <w:color w:val="auto"/>
        </w:rPr>
        <w:t>Instrumente ale politicii UE pentru ocuparea forţei de muncă</w:t>
      </w:r>
    </w:p>
    <w:p w:rsidR="007A1BC0" w:rsidRPr="00FC2582" w:rsidRDefault="00CA67BE" w:rsidP="008610EC">
      <w:pPr>
        <w:pStyle w:val="Bodytext20"/>
        <w:numPr>
          <w:ilvl w:val="0"/>
          <w:numId w:val="24"/>
        </w:numPr>
        <w:shd w:val="clear" w:color="auto" w:fill="auto"/>
        <w:tabs>
          <w:tab w:val="left" w:pos="2212"/>
        </w:tabs>
        <w:spacing w:before="0" w:after="0" w:line="240" w:lineRule="auto"/>
        <w:ind w:left="360" w:hanging="360"/>
        <w:rPr>
          <w:color w:val="auto"/>
        </w:rPr>
      </w:pPr>
      <w:r w:rsidRPr="00FC2582">
        <w:rPr>
          <w:color w:val="auto"/>
        </w:rPr>
        <w:t>Cadrul european de referinţă pentru asigurarea calităţii în educaţie şi formare profesională</w:t>
      </w:r>
    </w:p>
    <w:p w:rsidR="007A1BC0" w:rsidRPr="00FC2582" w:rsidRDefault="00CA67BE" w:rsidP="008610EC">
      <w:pPr>
        <w:pStyle w:val="Bodytext20"/>
        <w:numPr>
          <w:ilvl w:val="0"/>
          <w:numId w:val="24"/>
        </w:numPr>
        <w:shd w:val="clear" w:color="auto" w:fill="auto"/>
        <w:tabs>
          <w:tab w:val="left" w:pos="2212"/>
        </w:tabs>
        <w:spacing w:before="0" w:after="0" w:line="240" w:lineRule="auto"/>
        <w:ind w:left="360" w:hanging="360"/>
        <w:rPr>
          <w:color w:val="auto"/>
        </w:rPr>
      </w:pPr>
      <w:r w:rsidRPr="00FC2582">
        <w:rPr>
          <w:color w:val="auto"/>
        </w:rPr>
        <w:t>Sistemul de recunoaştere a calificărilor profesionale</w:t>
      </w:r>
    </w:p>
    <w:p w:rsidR="007A1BC0" w:rsidRPr="00FC2582" w:rsidRDefault="00CA67BE" w:rsidP="008610EC">
      <w:pPr>
        <w:pStyle w:val="Bodytext20"/>
        <w:numPr>
          <w:ilvl w:val="0"/>
          <w:numId w:val="24"/>
        </w:numPr>
        <w:shd w:val="clear" w:color="auto" w:fill="auto"/>
        <w:tabs>
          <w:tab w:val="left" w:pos="2212"/>
        </w:tabs>
        <w:spacing w:before="0" w:after="0" w:line="240" w:lineRule="auto"/>
        <w:ind w:left="360" w:hanging="360"/>
        <w:rPr>
          <w:color w:val="auto"/>
        </w:rPr>
      </w:pPr>
      <w:r w:rsidRPr="00FC2582">
        <w:rPr>
          <w:color w:val="auto"/>
        </w:rPr>
        <w:t>Directiva 98/5/CE a parlamentului European şi a consiliului din 16 februarie 1998 de facilitare a exercitării cu caracter permanent a profesiei de avocat într-un stat membru, altul decât cel în care s-a obţinut calificarea</w:t>
      </w:r>
    </w:p>
    <w:p w:rsidR="007A1BC0" w:rsidRPr="00FC2582" w:rsidRDefault="00D80EF7" w:rsidP="00D80EF7">
      <w:pPr>
        <w:pStyle w:val="Heading20"/>
        <w:shd w:val="clear" w:color="auto" w:fill="auto"/>
        <w:tabs>
          <w:tab w:val="left" w:pos="787"/>
        </w:tabs>
        <w:spacing w:before="0" w:after="0" w:line="240" w:lineRule="auto"/>
        <w:ind w:firstLine="0"/>
        <w:jc w:val="both"/>
        <w:rPr>
          <w:color w:val="auto"/>
        </w:rPr>
      </w:pPr>
      <w:bookmarkStart w:id="16" w:name="bookmark58"/>
      <w:r w:rsidRPr="00FC2582">
        <w:rPr>
          <w:color w:val="auto"/>
        </w:rPr>
        <w:t xml:space="preserve">2. </w:t>
      </w:r>
      <w:r w:rsidR="00CA67BE" w:rsidRPr="00FC2582">
        <w:rPr>
          <w:color w:val="auto"/>
        </w:rPr>
        <w:t>PROTECŢIA LUCRĂTORILOR LA LOCUL DE MUNCĂ</w:t>
      </w:r>
      <w:bookmarkEnd w:id="16"/>
    </w:p>
    <w:p w:rsidR="007A1BC0" w:rsidRPr="00FC2582" w:rsidRDefault="00CA67BE" w:rsidP="00D80EF7">
      <w:pPr>
        <w:pStyle w:val="Bodytext20"/>
        <w:numPr>
          <w:ilvl w:val="0"/>
          <w:numId w:val="47"/>
        </w:numPr>
        <w:shd w:val="clear" w:color="auto" w:fill="auto"/>
        <w:tabs>
          <w:tab w:val="left" w:pos="900"/>
        </w:tabs>
        <w:spacing w:before="0" w:after="0" w:line="240" w:lineRule="auto"/>
        <w:ind w:left="720" w:hanging="360"/>
        <w:rPr>
          <w:color w:val="auto"/>
        </w:rPr>
      </w:pPr>
      <w:r w:rsidRPr="00FC2582">
        <w:rPr>
          <w:color w:val="auto"/>
        </w:rPr>
        <w:t>Securitatea şi sănătatea lucrătorilor la locul de muncă</w:t>
      </w:r>
    </w:p>
    <w:p w:rsidR="007A1BC0" w:rsidRPr="00FC2582" w:rsidRDefault="00CA67BE" w:rsidP="00D80EF7">
      <w:pPr>
        <w:pStyle w:val="Bodytext20"/>
        <w:numPr>
          <w:ilvl w:val="0"/>
          <w:numId w:val="47"/>
        </w:numPr>
        <w:shd w:val="clear" w:color="auto" w:fill="auto"/>
        <w:tabs>
          <w:tab w:val="left" w:pos="900"/>
        </w:tabs>
        <w:spacing w:before="0" w:after="0" w:line="240" w:lineRule="auto"/>
        <w:ind w:left="720" w:hanging="360"/>
        <w:rPr>
          <w:color w:val="auto"/>
        </w:rPr>
      </w:pPr>
      <w:r w:rsidRPr="00FC2582">
        <w:rPr>
          <w:color w:val="auto"/>
        </w:rPr>
        <w:t>Protecţia tinerilor la locul de muncă</w:t>
      </w:r>
    </w:p>
    <w:p w:rsidR="007A1BC0" w:rsidRPr="00FC2582" w:rsidRDefault="00CA67BE" w:rsidP="00D80EF7">
      <w:pPr>
        <w:pStyle w:val="Bodytext20"/>
        <w:numPr>
          <w:ilvl w:val="0"/>
          <w:numId w:val="47"/>
        </w:numPr>
        <w:shd w:val="clear" w:color="auto" w:fill="auto"/>
        <w:tabs>
          <w:tab w:val="left" w:pos="900"/>
        </w:tabs>
        <w:spacing w:before="0" w:after="0" w:line="240" w:lineRule="auto"/>
        <w:ind w:left="720" w:hanging="360"/>
        <w:rPr>
          <w:color w:val="auto"/>
        </w:rPr>
      </w:pPr>
      <w:r w:rsidRPr="00FC2582">
        <w:rPr>
          <w:color w:val="auto"/>
        </w:rPr>
        <w:t>Protecţia lucrătoarelor gravide la locul de muncă</w:t>
      </w:r>
      <w:bookmarkStart w:id="17" w:name="_GoBack"/>
      <w:bookmarkEnd w:id="17"/>
    </w:p>
    <w:p w:rsidR="007A1BC0" w:rsidRPr="00FC2582" w:rsidRDefault="00CA67BE" w:rsidP="00D80EF7">
      <w:pPr>
        <w:pStyle w:val="Bodytext20"/>
        <w:numPr>
          <w:ilvl w:val="0"/>
          <w:numId w:val="47"/>
        </w:numPr>
        <w:shd w:val="clear" w:color="auto" w:fill="auto"/>
        <w:tabs>
          <w:tab w:val="left" w:pos="900"/>
        </w:tabs>
        <w:spacing w:before="0" w:after="0" w:line="240" w:lineRule="auto"/>
        <w:ind w:left="720" w:hanging="360"/>
        <w:rPr>
          <w:color w:val="auto"/>
        </w:rPr>
      </w:pPr>
      <w:r w:rsidRPr="00FC2582">
        <w:rPr>
          <w:color w:val="auto"/>
        </w:rPr>
        <w:t>Concediul pentru creşterea copilului</w:t>
      </w:r>
    </w:p>
    <w:p w:rsidR="007A1BC0" w:rsidRPr="00FC2582" w:rsidRDefault="00CA67BE" w:rsidP="00D80EF7">
      <w:pPr>
        <w:pStyle w:val="Bodytext20"/>
        <w:numPr>
          <w:ilvl w:val="0"/>
          <w:numId w:val="47"/>
        </w:numPr>
        <w:shd w:val="clear" w:color="auto" w:fill="auto"/>
        <w:tabs>
          <w:tab w:val="left" w:pos="900"/>
        </w:tabs>
        <w:spacing w:before="0" w:after="0" w:line="240" w:lineRule="auto"/>
        <w:ind w:left="720" w:hanging="360"/>
        <w:rPr>
          <w:color w:val="auto"/>
        </w:rPr>
      </w:pPr>
      <w:r w:rsidRPr="00FC2582">
        <w:rPr>
          <w:color w:val="auto"/>
        </w:rPr>
        <w:t>Protecţia salariaţilor în cazul transferului de întreprindere</w:t>
      </w:r>
    </w:p>
    <w:p w:rsidR="007A1BC0" w:rsidRPr="00FC2582" w:rsidRDefault="00CA67BE" w:rsidP="00D80EF7">
      <w:pPr>
        <w:pStyle w:val="Bodytext20"/>
        <w:numPr>
          <w:ilvl w:val="0"/>
          <w:numId w:val="47"/>
        </w:numPr>
        <w:shd w:val="clear" w:color="auto" w:fill="auto"/>
        <w:tabs>
          <w:tab w:val="left" w:pos="900"/>
        </w:tabs>
        <w:spacing w:before="0" w:after="0" w:line="240" w:lineRule="auto"/>
        <w:ind w:left="720" w:hanging="360"/>
        <w:rPr>
          <w:color w:val="auto"/>
        </w:rPr>
      </w:pPr>
      <w:r w:rsidRPr="00FC2582">
        <w:rPr>
          <w:color w:val="auto"/>
        </w:rPr>
        <w:t>Protecţia lucrătorilor salariaţi în cazul insolvenţei angajatorului</w:t>
      </w:r>
    </w:p>
    <w:p w:rsidR="007A1BC0" w:rsidRPr="00FC2582" w:rsidRDefault="00D80EF7" w:rsidP="00D80EF7">
      <w:pPr>
        <w:pStyle w:val="Heading20"/>
        <w:shd w:val="clear" w:color="auto" w:fill="auto"/>
        <w:tabs>
          <w:tab w:val="left" w:pos="787"/>
        </w:tabs>
        <w:spacing w:before="0" w:after="0" w:line="240" w:lineRule="auto"/>
        <w:ind w:firstLine="0"/>
        <w:jc w:val="both"/>
        <w:rPr>
          <w:color w:val="auto"/>
        </w:rPr>
      </w:pPr>
      <w:bookmarkStart w:id="18" w:name="bookmark59"/>
      <w:r w:rsidRPr="00FC2582">
        <w:rPr>
          <w:color w:val="auto"/>
        </w:rPr>
        <w:t xml:space="preserve">3. </w:t>
      </w:r>
      <w:r w:rsidR="00CA67BE" w:rsidRPr="00FC2582">
        <w:rPr>
          <w:color w:val="auto"/>
        </w:rPr>
        <w:t>RELAŢIILE COLECTIVE DE MUNCĂ</w:t>
      </w:r>
      <w:bookmarkEnd w:id="18"/>
    </w:p>
    <w:p w:rsidR="007A1BC0" w:rsidRPr="00FC2582" w:rsidRDefault="00CA67BE" w:rsidP="00D80EF7">
      <w:pPr>
        <w:pStyle w:val="Bodytext20"/>
        <w:numPr>
          <w:ilvl w:val="0"/>
          <w:numId w:val="48"/>
        </w:numPr>
        <w:shd w:val="clear" w:color="auto" w:fill="auto"/>
        <w:tabs>
          <w:tab w:val="left" w:pos="1611"/>
        </w:tabs>
        <w:spacing w:before="0" w:after="0" w:line="240" w:lineRule="auto"/>
        <w:ind w:left="630" w:hanging="360"/>
        <w:rPr>
          <w:color w:val="auto"/>
        </w:rPr>
      </w:pPr>
      <w:r w:rsidRPr="00FC2582">
        <w:rPr>
          <w:color w:val="auto"/>
        </w:rPr>
        <w:t>Informarea, consultarea şi participarea lucrătorilor la luarea deciziilor</w:t>
      </w:r>
    </w:p>
    <w:p w:rsidR="00D80EF7" w:rsidRPr="00FC2582" w:rsidRDefault="00CA67BE" w:rsidP="00D80EF7">
      <w:pPr>
        <w:pStyle w:val="Bodytext20"/>
        <w:numPr>
          <w:ilvl w:val="0"/>
          <w:numId w:val="48"/>
        </w:numPr>
        <w:shd w:val="clear" w:color="auto" w:fill="auto"/>
        <w:tabs>
          <w:tab w:val="left" w:pos="1611"/>
        </w:tabs>
        <w:spacing w:before="0" w:after="0" w:line="240" w:lineRule="auto"/>
        <w:ind w:left="630" w:hanging="360"/>
        <w:rPr>
          <w:rStyle w:val="Bodytext7NotItalic0"/>
          <w:b w:val="0"/>
          <w:bCs w:val="0"/>
          <w:i w:val="0"/>
          <w:iCs w:val="0"/>
          <w:color w:val="auto"/>
        </w:rPr>
      </w:pPr>
      <w:r w:rsidRPr="00FC2582">
        <w:rPr>
          <w:color w:val="auto"/>
        </w:rPr>
        <w:t>Concedierea colectivă</w:t>
      </w:r>
    </w:p>
    <w:sectPr w:rsidR="00D80EF7" w:rsidRPr="00FC2582" w:rsidSect="0056761D">
      <w:footerReference w:type="default" r:id="rId13"/>
      <w:pgSz w:w="11900" w:h="16840"/>
      <w:pgMar w:top="1440" w:right="1010" w:bottom="1260" w:left="16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4D" w:rsidRDefault="006B704D">
      <w:r>
        <w:separator/>
      </w:r>
    </w:p>
  </w:endnote>
  <w:endnote w:type="continuationSeparator" w:id="0">
    <w:p w:rsidR="006B704D" w:rsidRDefault="006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889550"/>
      <w:docPartObj>
        <w:docPartGallery w:val="Page Numbers (Bottom of Page)"/>
        <w:docPartUnique/>
      </w:docPartObj>
    </w:sdtPr>
    <w:sdtEndPr>
      <w:rPr>
        <w:noProof/>
      </w:rPr>
    </w:sdtEndPr>
    <w:sdtContent>
      <w:p w:rsidR="0056761D" w:rsidRDefault="005676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6761D" w:rsidRDefault="0056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4D" w:rsidRDefault="006B704D"/>
  </w:footnote>
  <w:footnote w:type="continuationSeparator" w:id="0">
    <w:p w:rsidR="006B704D" w:rsidRDefault="006B7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AB"/>
      </v:shape>
    </w:pict>
  </w:numPicBullet>
  <w:abstractNum w:abstractNumId="0" w15:restartNumberingAfterBreak="0">
    <w:nsid w:val="00600B84"/>
    <w:multiLevelType w:val="multilevel"/>
    <w:tmpl w:val="F48C5DC2"/>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F1115"/>
    <w:multiLevelType w:val="hybridMultilevel"/>
    <w:tmpl w:val="EFB2347E"/>
    <w:lvl w:ilvl="0" w:tplc="0409000D">
      <w:start w:val="1"/>
      <w:numFmt w:val="bullet"/>
      <w:lvlText w:val=""/>
      <w:lvlJc w:val="left"/>
      <w:pPr>
        <w:ind w:left="1440" w:hanging="360"/>
      </w:pPr>
      <w:rPr>
        <w:rFonts w:ascii="Wingdings" w:hAnsi="Wingdings" w:hint="default"/>
      </w:rPr>
    </w:lvl>
    <w:lvl w:ilvl="1" w:tplc="4CD0446C">
      <w:numFmt w:val="bullet"/>
      <w:lvlText w:val="-"/>
      <w:lvlJc w:val="left"/>
      <w:pPr>
        <w:ind w:left="2730" w:hanging="93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327A13"/>
    <w:multiLevelType w:val="hybridMultilevel"/>
    <w:tmpl w:val="ED765E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D00739"/>
    <w:multiLevelType w:val="singleLevel"/>
    <w:tmpl w:val="8F9018EE"/>
    <w:lvl w:ilvl="0">
      <w:numFmt w:val="bullet"/>
      <w:lvlText w:val="-"/>
      <w:lvlJc w:val="left"/>
      <w:pPr>
        <w:tabs>
          <w:tab w:val="num" w:pos="360"/>
        </w:tabs>
        <w:ind w:left="360" w:hanging="360"/>
      </w:pPr>
      <w:rPr>
        <w:rFonts w:hint="default"/>
      </w:rPr>
    </w:lvl>
  </w:abstractNum>
  <w:abstractNum w:abstractNumId="4" w15:restartNumberingAfterBreak="0">
    <w:nsid w:val="073F389F"/>
    <w:multiLevelType w:val="multilevel"/>
    <w:tmpl w:val="B7B2C9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84186"/>
    <w:multiLevelType w:val="hybridMultilevel"/>
    <w:tmpl w:val="C94E2D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EF5D98"/>
    <w:multiLevelType w:val="multilevel"/>
    <w:tmpl w:val="B39E23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F3961"/>
    <w:multiLevelType w:val="hybridMultilevel"/>
    <w:tmpl w:val="01DC9B64"/>
    <w:lvl w:ilvl="0" w:tplc="4CD0446C">
      <w:numFmt w:val="bullet"/>
      <w:lvlText w:val="-"/>
      <w:lvlJc w:val="left"/>
      <w:pPr>
        <w:ind w:left="1170" w:hanging="360"/>
      </w:pPr>
      <w:rPr>
        <w:rFonts w:ascii="Calibri" w:eastAsia="Calibr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D364B3"/>
    <w:multiLevelType w:val="hybridMultilevel"/>
    <w:tmpl w:val="606A3F90"/>
    <w:lvl w:ilvl="0" w:tplc="6F94246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9C508E"/>
    <w:multiLevelType w:val="hybridMultilevel"/>
    <w:tmpl w:val="7F30C9B2"/>
    <w:lvl w:ilvl="0" w:tplc="7ACC6F1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945BEC"/>
    <w:multiLevelType w:val="multilevel"/>
    <w:tmpl w:val="90EC438A"/>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8199A"/>
    <w:multiLevelType w:val="hybridMultilevel"/>
    <w:tmpl w:val="07BE427E"/>
    <w:lvl w:ilvl="0" w:tplc="F1C84BE6">
      <w:start w:val="1"/>
      <w:numFmt w:val="upperRoman"/>
      <w:lvlText w:val="%1."/>
      <w:lvlJc w:val="left"/>
      <w:pPr>
        <w:tabs>
          <w:tab w:val="num" w:pos="1080"/>
        </w:tabs>
        <w:ind w:left="1080" w:hanging="720"/>
      </w:pPr>
      <w:rPr>
        <w:rFonts w:hint="default"/>
      </w:rPr>
    </w:lvl>
    <w:lvl w:ilvl="1" w:tplc="27321FE0">
      <w:start w:val="1"/>
      <w:numFmt w:val="decimal"/>
      <w:lvlText w:val="%2."/>
      <w:lvlJc w:val="left"/>
      <w:pPr>
        <w:tabs>
          <w:tab w:val="num" w:pos="1440"/>
        </w:tabs>
        <w:ind w:left="1440" w:hanging="360"/>
      </w:pPr>
      <w:rPr>
        <w:rFonts w:ascii="Times New Roman" w:eastAsia="Calibri" w:hAnsi="Times New Roman" w:cs="Times New Roman"/>
      </w:rPr>
    </w:lvl>
    <w:lvl w:ilvl="2" w:tplc="7A9C3204">
      <w:start w:val="1"/>
      <w:numFmt w:val="upperLetter"/>
      <w:lvlText w:val="%3."/>
      <w:lvlJc w:val="left"/>
      <w:pPr>
        <w:tabs>
          <w:tab w:val="num" w:pos="2340"/>
        </w:tabs>
        <w:ind w:left="2340" w:hanging="360"/>
      </w:pPr>
      <w:rPr>
        <w:rFonts w:hint="default"/>
        <w:sz w:val="26"/>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164C1330"/>
    <w:multiLevelType w:val="multilevel"/>
    <w:tmpl w:val="8F10F06A"/>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6F5F95"/>
    <w:multiLevelType w:val="multilevel"/>
    <w:tmpl w:val="22DA7B14"/>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94306B"/>
    <w:multiLevelType w:val="multilevel"/>
    <w:tmpl w:val="4746D286"/>
    <w:lvl w:ilvl="0">
      <w:start w:val="1"/>
      <w:numFmt w:val="lowerLetter"/>
      <w:lvlText w:val="%1."/>
      <w:lvlJc w:val="left"/>
      <w:rPr>
        <w:rFonts w:ascii="Calibri" w:eastAsia="Calibri" w:hAnsi="Calibri" w:cs="Calibri"/>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B749D7"/>
    <w:multiLevelType w:val="multilevel"/>
    <w:tmpl w:val="FD9ACA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E15FE0"/>
    <w:multiLevelType w:val="hybridMultilevel"/>
    <w:tmpl w:val="AF68D14E"/>
    <w:lvl w:ilvl="0" w:tplc="4CD0446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AD5"/>
    <w:multiLevelType w:val="multilevel"/>
    <w:tmpl w:val="15EC6054"/>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A3E4A"/>
    <w:multiLevelType w:val="multilevel"/>
    <w:tmpl w:val="D23CF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31438"/>
    <w:multiLevelType w:val="hybridMultilevel"/>
    <w:tmpl w:val="BE80DB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6029D6"/>
    <w:multiLevelType w:val="multilevel"/>
    <w:tmpl w:val="487E76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8826BC"/>
    <w:multiLevelType w:val="multilevel"/>
    <w:tmpl w:val="4440DB3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232797"/>
    <w:multiLevelType w:val="multilevel"/>
    <w:tmpl w:val="29CCC6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827493"/>
    <w:multiLevelType w:val="hybridMultilevel"/>
    <w:tmpl w:val="E3283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764B0"/>
    <w:multiLevelType w:val="multilevel"/>
    <w:tmpl w:val="17B4CD48"/>
    <w:lvl w:ilvl="0">
      <w:start w:val="1"/>
      <w:numFmt w:val="bullet"/>
      <w:lvlText w:val=""/>
      <w:lvlPicBulletId w:val="0"/>
      <w:lvlJc w:val="left"/>
      <w:rPr>
        <w:rFonts w:ascii="Symbol" w:hAnsi="Symbol" w:hint="default"/>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F77E09"/>
    <w:multiLevelType w:val="multilevel"/>
    <w:tmpl w:val="0A4A18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F13E18"/>
    <w:multiLevelType w:val="hybridMultilevel"/>
    <w:tmpl w:val="FA0A000E"/>
    <w:lvl w:ilvl="0" w:tplc="04090007">
      <w:start w:val="1"/>
      <w:numFmt w:val="bullet"/>
      <w:lvlText w:val=""/>
      <w:lvlPicBulletId w:val="0"/>
      <w:lvlJc w:val="left"/>
      <w:pPr>
        <w:ind w:left="1440" w:hanging="360"/>
      </w:pPr>
      <w:rPr>
        <w:rFonts w:ascii="Symbol" w:hAnsi="Symbol" w:hint="default"/>
      </w:rPr>
    </w:lvl>
    <w:lvl w:ilvl="1" w:tplc="04090007">
      <w:start w:val="1"/>
      <w:numFmt w:val="bullet"/>
      <w:lvlText w:val=""/>
      <w:lvlPicBulletId w:val="0"/>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0772A4"/>
    <w:multiLevelType w:val="multilevel"/>
    <w:tmpl w:val="564615D8"/>
    <w:lvl w:ilvl="0">
      <w:start w:val="1"/>
      <w:numFmt w:val="bullet"/>
      <w:lvlText w:val=""/>
      <w:lvlJc w:val="left"/>
      <w:rPr>
        <w:rFonts w:ascii="Wingdings" w:hAnsi="Wingdings" w:hint="default"/>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CF0A51"/>
    <w:multiLevelType w:val="hybridMultilevel"/>
    <w:tmpl w:val="F0B4CD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96139D"/>
    <w:multiLevelType w:val="multilevel"/>
    <w:tmpl w:val="39D40272"/>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7616BE"/>
    <w:multiLevelType w:val="hybridMultilevel"/>
    <w:tmpl w:val="51D27B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75091D"/>
    <w:multiLevelType w:val="multilevel"/>
    <w:tmpl w:val="B3A0A5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756598"/>
    <w:multiLevelType w:val="hybridMultilevel"/>
    <w:tmpl w:val="AA504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8C5B78"/>
    <w:multiLevelType w:val="multilevel"/>
    <w:tmpl w:val="97B0B5E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F96114"/>
    <w:multiLevelType w:val="hybridMultilevel"/>
    <w:tmpl w:val="2BB8B8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514258"/>
    <w:multiLevelType w:val="multilevel"/>
    <w:tmpl w:val="E10C3616"/>
    <w:lvl w:ilvl="0">
      <w:start w:val="1"/>
      <w:numFmt w:val="decimal"/>
      <w:lvlText w:val="%1."/>
      <w:lvlJc w:val="left"/>
      <w:rPr>
        <w:rFonts w:ascii="Calibri" w:eastAsia="Calibri" w:hAnsi="Calibri" w:cs="Calibri"/>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2070EE"/>
    <w:multiLevelType w:val="multilevel"/>
    <w:tmpl w:val="44FCDB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7A6D0A"/>
    <w:multiLevelType w:val="multilevel"/>
    <w:tmpl w:val="D8AE1ED2"/>
    <w:lvl w:ilvl="0">
      <w:start w:val="1"/>
      <w:numFmt w:val="bullet"/>
      <w:lvlText w:val=""/>
      <w:lvlPicBulletId w:val="0"/>
      <w:lvlJc w:val="left"/>
      <w:rPr>
        <w:rFonts w:ascii="Symbol" w:hAnsi="Symbol" w:hint="default"/>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D466BE"/>
    <w:multiLevelType w:val="multilevel"/>
    <w:tmpl w:val="874E3D28"/>
    <w:lvl w:ilvl="0">
      <w:start w:val="2"/>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4C61D6"/>
    <w:multiLevelType w:val="multilevel"/>
    <w:tmpl w:val="25D6C82E"/>
    <w:lvl w:ilvl="0">
      <w:start w:val="1"/>
      <w:numFmt w:val="bullet"/>
      <w:lvlText w:val=""/>
      <w:lvlPicBulletId w:val="0"/>
      <w:lvlJc w:val="left"/>
      <w:rPr>
        <w:rFonts w:ascii="Symbol" w:hAnsi="Symbol" w:hint="default"/>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B84C14"/>
    <w:multiLevelType w:val="multilevel"/>
    <w:tmpl w:val="DD70CAA4"/>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3C0901"/>
    <w:multiLevelType w:val="multilevel"/>
    <w:tmpl w:val="1D443112"/>
    <w:lvl w:ilvl="0">
      <w:numFmt w:val="bullet"/>
      <w:lvlText w:val="-"/>
      <w:lvlJc w:val="left"/>
      <w:rPr>
        <w:rFonts w:ascii="Calibri" w:eastAsia="Calibri" w:hAnsi="Calibri" w:cs="Calibri" w:hint="default"/>
        <w:b w:val="0"/>
        <w:bCs w:val="0"/>
        <w:i/>
        <w:iCs/>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C967FF"/>
    <w:multiLevelType w:val="multilevel"/>
    <w:tmpl w:val="FFE0DF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AF4D9B"/>
    <w:multiLevelType w:val="multilevel"/>
    <w:tmpl w:val="045EF1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761B26"/>
    <w:multiLevelType w:val="hybridMultilevel"/>
    <w:tmpl w:val="5C0CC1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46A47B0"/>
    <w:multiLevelType w:val="multilevel"/>
    <w:tmpl w:val="D304BF6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8B35C8"/>
    <w:multiLevelType w:val="multilevel"/>
    <w:tmpl w:val="F7BC9B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1A7A8C"/>
    <w:multiLevelType w:val="hybridMultilevel"/>
    <w:tmpl w:val="4E744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3E323E"/>
    <w:multiLevelType w:val="multilevel"/>
    <w:tmpl w:val="58E6EF6A"/>
    <w:lvl w:ilvl="0">
      <w:start w:val="1"/>
      <w:numFmt w:val="upperLetter"/>
      <w:lvlText w:val="%1."/>
      <w:lvlJc w:val="left"/>
      <w:rPr>
        <w:rFonts w:ascii="Calibri" w:eastAsia="Calibri" w:hAnsi="Calibri" w:cs="Calibri"/>
        <w:b/>
        <w:bCs/>
        <w:i w:val="0"/>
        <w:iCs w:val="0"/>
        <w:smallCaps w:val="0"/>
        <w:strike w:val="0"/>
        <w:color w:val="000000"/>
        <w:spacing w:val="0"/>
        <w:w w:val="100"/>
        <w:position w:val="0"/>
        <w:sz w:val="26"/>
        <w:szCs w:val="26"/>
        <w:u w:val="singl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9B23FF"/>
    <w:multiLevelType w:val="hybridMultilevel"/>
    <w:tmpl w:val="396A0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13"/>
  </w:num>
  <w:num w:numId="4">
    <w:abstractNumId w:val="12"/>
  </w:num>
  <w:num w:numId="5">
    <w:abstractNumId w:val="42"/>
  </w:num>
  <w:num w:numId="6">
    <w:abstractNumId w:val="48"/>
  </w:num>
  <w:num w:numId="7">
    <w:abstractNumId w:val="46"/>
  </w:num>
  <w:num w:numId="8">
    <w:abstractNumId w:val="38"/>
  </w:num>
  <w:num w:numId="9">
    <w:abstractNumId w:val="35"/>
  </w:num>
  <w:num w:numId="10">
    <w:abstractNumId w:val="22"/>
  </w:num>
  <w:num w:numId="11">
    <w:abstractNumId w:val="25"/>
  </w:num>
  <w:num w:numId="12">
    <w:abstractNumId w:val="6"/>
  </w:num>
  <w:num w:numId="13">
    <w:abstractNumId w:val="15"/>
  </w:num>
  <w:num w:numId="14">
    <w:abstractNumId w:val="43"/>
  </w:num>
  <w:num w:numId="15">
    <w:abstractNumId w:val="4"/>
  </w:num>
  <w:num w:numId="16">
    <w:abstractNumId w:val="36"/>
  </w:num>
  <w:num w:numId="17">
    <w:abstractNumId w:val="10"/>
  </w:num>
  <w:num w:numId="18">
    <w:abstractNumId w:val="20"/>
  </w:num>
  <w:num w:numId="19">
    <w:abstractNumId w:val="29"/>
  </w:num>
  <w:num w:numId="20">
    <w:abstractNumId w:val="17"/>
  </w:num>
  <w:num w:numId="21">
    <w:abstractNumId w:val="0"/>
  </w:num>
  <w:num w:numId="22">
    <w:abstractNumId w:val="18"/>
  </w:num>
  <w:num w:numId="23">
    <w:abstractNumId w:val="40"/>
  </w:num>
  <w:num w:numId="24">
    <w:abstractNumId w:val="31"/>
  </w:num>
  <w:num w:numId="25">
    <w:abstractNumId w:val="1"/>
  </w:num>
  <w:num w:numId="26">
    <w:abstractNumId w:val="24"/>
  </w:num>
  <w:num w:numId="27">
    <w:abstractNumId w:val="39"/>
  </w:num>
  <w:num w:numId="28">
    <w:abstractNumId w:val="37"/>
  </w:num>
  <w:num w:numId="29">
    <w:abstractNumId w:val="26"/>
  </w:num>
  <w:num w:numId="30">
    <w:abstractNumId w:val="47"/>
  </w:num>
  <w:num w:numId="31">
    <w:abstractNumId w:val="2"/>
  </w:num>
  <w:num w:numId="32">
    <w:abstractNumId w:val="30"/>
  </w:num>
  <w:num w:numId="33">
    <w:abstractNumId w:val="5"/>
  </w:num>
  <w:num w:numId="34">
    <w:abstractNumId w:val="28"/>
  </w:num>
  <w:num w:numId="35">
    <w:abstractNumId w:val="49"/>
  </w:num>
  <w:num w:numId="36">
    <w:abstractNumId w:val="19"/>
  </w:num>
  <w:num w:numId="37">
    <w:abstractNumId w:val="34"/>
  </w:num>
  <w:num w:numId="38">
    <w:abstractNumId w:val="16"/>
  </w:num>
  <w:num w:numId="39">
    <w:abstractNumId w:val="7"/>
  </w:num>
  <w:num w:numId="40">
    <w:abstractNumId w:val="9"/>
  </w:num>
  <w:num w:numId="41">
    <w:abstractNumId w:val="41"/>
  </w:num>
  <w:num w:numId="42">
    <w:abstractNumId w:val="44"/>
  </w:num>
  <w:num w:numId="43">
    <w:abstractNumId w:val="3"/>
  </w:num>
  <w:num w:numId="44">
    <w:abstractNumId w:val="32"/>
  </w:num>
  <w:num w:numId="45">
    <w:abstractNumId w:val="11"/>
  </w:num>
  <w:num w:numId="46">
    <w:abstractNumId w:val="45"/>
  </w:num>
  <w:num w:numId="47">
    <w:abstractNumId w:val="21"/>
  </w:num>
  <w:num w:numId="48">
    <w:abstractNumId w:val="33"/>
  </w:num>
  <w:num w:numId="49">
    <w:abstractNumId w:val="8"/>
  </w:num>
  <w:num w:numId="50">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BC0"/>
    <w:rsid w:val="00080A04"/>
    <w:rsid w:val="00276FEF"/>
    <w:rsid w:val="002B6957"/>
    <w:rsid w:val="003250DF"/>
    <w:rsid w:val="003A1DE8"/>
    <w:rsid w:val="004229DB"/>
    <w:rsid w:val="00501E0F"/>
    <w:rsid w:val="00550624"/>
    <w:rsid w:val="00550B95"/>
    <w:rsid w:val="0056390B"/>
    <w:rsid w:val="0056761D"/>
    <w:rsid w:val="00567E27"/>
    <w:rsid w:val="005C589E"/>
    <w:rsid w:val="005D60C4"/>
    <w:rsid w:val="005F62E4"/>
    <w:rsid w:val="006B704D"/>
    <w:rsid w:val="006E45E8"/>
    <w:rsid w:val="006F337B"/>
    <w:rsid w:val="00725244"/>
    <w:rsid w:val="007A1BC0"/>
    <w:rsid w:val="008610EC"/>
    <w:rsid w:val="008D0B04"/>
    <w:rsid w:val="008D7F82"/>
    <w:rsid w:val="009663AC"/>
    <w:rsid w:val="009903A4"/>
    <w:rsid w:val="0099122A"/>
    <w:rsid w:val="00996FB2"/>
    <w:rsid w:val="009F06BC"/>
    <w:rsid w:val="00A00CB1"/>
    <w:rsid w:val="00B54BB8"/>
    <w:rsid w:val="00B60478"/>
    <w:rsid w:val="00BB5F17"/>
    <w:rsid w:val="00CA67BE"/>
    <w:rsid w:val="00D26D6B"/>
    <w:rsid w:val="00D67FF7"/>
    <w:rsid w:val="00D80EF7"/>
    <w:rsid w:val="00F1451B"/>
    <w:rsid w:val="00FC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C20591"/>
  <w15:docId w15:val="{DEC19146-5845-4572-89C7-C662EB25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paragraph" w:styleId="Heading3">
    <w:name w:val="heading 3"/>
    <w:basedOn w:val="Normal"/>
    <w:next w:val="Normal"/>
    <w:link w:val="Heading3Char"/>
    <w:qFormat/>
    <w:rsid w:val="00D67FF7"/>
    <w:pPr>
      <w:keepNext/>
      <w:widowControl/>
      <w:jc w:val="center"/>
      <w:outlineLvl w:val="2"/>
    </w:pPr>
    <w:rPr>
      <w:rFonts w:ascii="Times New Roman" w:eastAsia="Times New Roman" w:hAnsi="Times New Roman" w:cs="Times New Roman"/>
      <w:b/>
      <w:bCs/>
      <w:color w:val="auto"/>
      <w:sz w:val="26"/>
      <w:lang w:bidi="ar-SA"/>
    </w:rPr>
  </w:style>
  <w:style w:type="paragraph" w:styleId="Heading4">
    <w:name w:val="heading 4"/>
    <w:basedOn w:val="Normal"/>
    <w:next w:val="Normal"/>
    <w:link w:val="Heading4Char"/>
    <w:qFormat/>
    <w:rsid w:val="00D67FF7"/>
    <w:pPr>
      <w:keepNext/>
      <w:widowControl/>
      <w:jc w:val="center"/>
      <w:outlineLvl w:val="3"/>
    </w:pPr>
    <w:rPr>
      <w:rFonts w:ascii="Times New Roman" w:eastAsia="Times New Roman" w:hAnsi="Times New Roman" w:cs="Times New Roman"/>
      <w:color w:val="auto"/>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Arial Narrow" w:eastAsia="Arial Narrow" w:hAnsi="Arial Narrow" w:cs="Arial Narrow"/>
      <w:b/>
      <w:bCs/>
      <w:i w:val="0"/>
      <w:iCs w:val="0"/>
      <w:smallCaps w:val="0"/>
      <w:strike w:val="0"/>
      <w:sz w:val="40"/>
      <w:szCs w:val="40"/>
      <w:u w:val="none"/>
    </w:rPr>
  </w:style>
  <w:style w:type="character" w:customStyle="1" w:styleId="Heading1">
    <w:name w:val="Heading #1_"/>
    <w:basedOn w:val="DefaultParagraphFont"/>
    <w:link w:val="Heading10"/>
    <w:rPr>
      <w:rFonts w:ascii="Arial Narrow" w:eastAsia="Arial Narrow" w:hAnsi="Arial Narrow" w:cs="Arial Narrow"/>
      <w:b/>
      <w:bCs/>
      <w:i/>
      <w:iCs/>
      <w:smallCaps w:val="0"/>
      <w:strike w:val="0"/>
      <w:w w:val="100"/>
      <w:sz w:val="44"/>
      <w:szCs w:val="44"/>
      <w:u w:val="none"/>
    </w:rPr>
  </w:style>
  <w:style w:type="character" w:customStyle="1" w:styleId="Bodytext4">
    <w:name w:val="Body text (4)_"/>
    <w:basedOn w:val="DefaultParagraphFont"/>
    <w:link w:val="Bodytext40"/>
    <w:rPr>
      <w:rFonts w:ascii="Arial Narrow" w:eastAsia="Arial Narrow" w:hAnsi="Arial Narrow" w:cs="Arial Narrow"/>
      <w:b/>
      <w:bCs/>
      <w:i w:val="0"/>
      <w:iCs w:val="0"/>
      <w:smallCaps w:val="0"/>
      <w:strike w:val="0"/>
      <w:sz w:val="28"/>
      <w:szCs w:val="28"/>
      <w:u w:val="none"/>
    </w:rPr>
  </w:style>
  <w:style w:type="character" w:customStyle="1" w:styleId="Bodytext5">
    <w:name w:val="Body text (5)_"/>
    <w:basedOn w:val="DefaultParagraphFont"/>
    <w:link w:val="Bodytext50"/>
    <w:rPr>
      <w:rFonts w:ascii="Arial Narrow" w:eastAsia="Arial Narrow" w:hAnsi="Arial Narrow" w:cs="Arial Narrow"/>
      <w:b w:val="0"/>
      <w:bCs w:val="0"/>
      <w:i w:val="0"/>
      <w:iCs w:val="0"/>
      <w:smallCaps w:val="0"/>
      <w:strike w:val="0"/>
      <w:w w:val="100"/>
      <w:sz w:val="28"/>
      <w:szCs w:val="28"/>
      <w:u w:val="none"/>
    </w:rPr>
  </w:style>
  <w:style w:type="character" w:customStyle="1" w:styleId="Bodytext5Bold">
    <w:name w:val="Body text (5) + Bold"/>
    <w:basedOn w:val="Bodytext5"/>
    <w:rPr>
      <w:rFonts w:ascii="Arial Narrow" w:eastAsia="Arial Narrow" w:hAnsi="Arial Narrow" w:cs="Arial Narrow"/>
      <w:b/>
      <w:bCs/>
      <w:i w:val="0"/>
      <w:iCs w:val="0"/>
      <w:smallCaps w:val="0"/>
      <w:strike w:val="0"/>
      <w:color w:val="000000"/>
      <w:spacing w:val="0"/>
      <w:w w:val="100"/>
      <w:position w:val="0"/>
      <w:sz w:val="28"/>
      <w:szCs w:val="28"/>
      <w:u w:val="none"/>
      <w:lang w:val="ro-RO" w:eastAsia="ro-RO" w:bidi="ro-RO"/>
    </w:rPr>
  </w:style>
  <w:style w:type="character" w:customStyle="1" w:styleId="Bodytext5Italic">
    <w:name w:val="Body text (5) + Italic"/>
    <w:basedOn w:val="Bodytext5"/>
    <w:rPr>
      <w:rFonts w:ascii="Arial Narrow" w:eastAsia="Arial Narrow" w:hAnsi="Arial Narrow" w:cs="Arial Narrow"/>
      <w:b w:val="0"/>
      <w:bCs w:val="0"/>
      <w:i/>
      <w:iCs/>
      <w:smallCaps w:val="0"/>
      <w:strike w:val="0"/>
      <w:color w:val="000000"/>
      <w:spacing w:val="0"/>
      <w:w w:val="100"/>
      <w:position w:val="0"/>
      <w:sz w:val="28"/>
      <w:szCs w:val="28"/>
      <w:u w:val="none"/>
      <w:lang w:val="ro-RO" w:eastAsia="ro-RO" w:bidi="ro-RO"/>
    </w:rPr>
  </w:style>
  <w:style w:type="character" w:customStyle="1" w:styleId="Bodytext51">
    <w:name w:val="Body text (5)"/>
    <w:basedOn w:val="Bodytext5"/>
    <w:rPr>
      <w:rFonts w:ascii="Arial Narrow" w:eastAsia="Arial Narrow" w:hAnsi="Arial Narrow" w:cs="Arial Narrow"/>
      <w:b w:val="0"/>
      <w:bCs w:val="0"/>
      <w:i w:val="0"/>
      <w:iCs w:val="0"/>
      <w:smallCaps w:val="0"/>
      <w:strike w:val="0"/>
      <w:color w:val="000000"/>
      <w:spacing w:val="0"/>
      <w:w w:val="100"/>
      <w:position w:val="0"/>
      <w:sz w:val="28"/>
      <w:szCs w:val="28"/>
      <w:u w:val="single"/>
      <w:lang w:val="en-US" w:eastAsia="en-US" w:bidi="en-US"/>
    </w:rPr>
  </w:style>
  <w:style w:type="character" w:customStyle="1" w:styleId="Bodytext6">
    <w:name w:val="Body text (6)_"/>
    <w:basedOn w:val="DefaultParagraphFont"/>
    <w:link w:val="Bodytext60"/>
    <w:rPr>
      <w:rFonts w:ascii="Arial Narrow" w:eastAsia="Arial Narrow" w:hAnsi="Arial Narrow" w:cs="Arial Narrow"/>
      <w:b/>
      <w:bCs/>
      <w:i w:val="0"/>
      <w:iCs w:val="0"/>
      <w:smallCaps w:val="0"/>
      <w:strike w:val="0"/>
      <w:w w:val="150"/>
      <w:sz w:val="28"/>
      <w:szCs w:val="28"/>
      <w:u w:val="none"/>
    </w:rPr>
  </w:style>
  <w:style w:type="character" w:customStyle="1" w:styleId="Headerorfooter">
    <w:name w:val="Header or footer_"/>
    <w:basedOn w:val="DefaultParagraphFont"/>
    <w:link w:val="Headerorfooter0"/>
    <w:rPr>
      <w:rFonts w:ascii="Segoe UI" w:eastAsia="Segoe UI" w:hAnsi="Segoe UI" w:cs="Segoe UI"/>
      <w:b w:val="0"/>
      <w:bCs w:val="0"/>
      <w:i w:val="0"/>
      <w:iCs w:val="0"/>
      <w:smallCaps w:val="0"/>
      <w:strike w:val="0"/>
      <w:spacing w:val="0"/>
      <w:sz w:val="22"/>
      <w:szCs w:val="22"/>
      <w:u w:val="none"/>
    </w:rPr>
  </w:style>
  <w:style w:type="character" w:customStyle="1" w:styleId="Bodytext7">
    <w:name w:val="Body text (7)_"/>
    <w:basedOn w:val="DefaultParagraphFont"/>
    <w:link w:val="Bodytext70"/>
    <w:rPr>
      <w:rFonts w:ascii="Calibri" w:eastAsia="Calibri" w:hAnsi="Calibri" w:cs="Calibri"/>
      <w:b/>
      <w:bCs/>
      <w:i/>
      <w:iCs/>
      <w:smallCaps w:val="0"/>
      <w:strike w:val="0"/>
      <w:sz w:val="26"/>
      <w:szCs w:val="26"/>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6"/>
      <w:szCs w:val="26"/>
      <w:u w:val="none"/>
    </w:rPr>
  </w:style>
  <w:style w:type="character" w:customStyle="1" w:styleId="Bodytext8">
    <w:name w:val="Body text (8)_"/>
    <w:basedOn w:val="DefaultParagraphFont"/>
    <w:link w:val="Bodytext80"/>
    <w:rPr>
      <w:rFonts w:ascii="Calibri" w:eastAsia="Calibri" w:hAnsi="Calibri" w:cs="Calibri"/>
      <w:b/>
      <w:bCs/>
      <w:i w:val="0"/>
      <w:iCs w:val="0"/>
      <w:smallCaps w:val="0"/>
      <w:strike w:val="0"/>
      <w:sz w:val="26"/>
      <w:szCs w:val="26"/>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6"/>
      <w:szCs w:val="26"/>
      <w:u w:val="none"/>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6"/>
      <w:szCs w:val="26"/>
      <w:u w:val="none"/>
      <w:lang w:val="ro-RO" w:eastAsia="ro-RO" w:bidi="ro-RO"/>
    </w:rPr>
  </w:style>
  <w:style w:type="character" w:customStyle="1" w:styleId="Bodytext9">
    <w:name w:val="Body text (9)_"/>
    <w:basedOn w:val="DefaultParagraphFont"/>
    <w:link w:val="Bodytext90"/>
    <w:rPr>
      <w:rFonts w:ascii="Calibri" w:eastAsia="Calibri" w:hAnsi="Calibri" w:cs="Calibri"/>
      <w:b w:val="0"/>
      <w:bCs w:val="0"/>
      <w:i/>
      <w:iCs/>
      <w:smallCaps w:val="0"/>
      <w:strike w:val="0"/>
      <w:sz w:val="26"/>
      <w:szCs w:val="26"/>
      <w:u w:val="none"/>
    </w:rPr>
  </w:style>
  <w:style w:type="character" w:customStyle="1" w:styleId="Bodytext7NotItalic">
    <w:name w:val="Body text (7) + Not Italic"/>
    <w:basedOn w:val="Bodytext7"/>
    <w:rPr>
      <w:rFonts w:ascii="Calibri" w:eastAsia="Calibri" w:hAnsi="Calibri" w:cs="Calibri"/>
      <w:b/>
      <w:bCs/>
      <w:i/>
      <w:iCs/>
      <w:smallCaps w:val="0"/>
      <w:strike w:val="0"/>
      <w:color w:val="000000"/>
      <w:spacing w:val="0"/>
      <w:w w:val="100"/>
      <w:position w:val="0"/>
      <w:sz w:val="26"/>
      <w:szCs w:val="26"/>
      <w:u w:val="single"/>
      <w:lang w:val="ro-RO" w:eastAsia="ro-RO" w:bidi="ro-RO"/>
    </w:rPr>
  </w:style>
  <w:style w:type="character" w:customStyle="1" w:styleId="Bodytext71">
    <w:name w:val="Body text (7)"/>
    <w:basedOn w:val="Bodytext7"/>
    <w:rPr>
      <w:rFonts w:ascii="Calibri" w:eastAsia="Calibri" w:hAnsi="Calibri" w:cs="Calibri"/>
      <w:b/>
      <w:bCs/>
      <w:i/>
      <w:iCs/>
      <w:smallCaps w:val="0"/>
      <w:strike w:val="0"/>
      <w:color w:val="000000"/>
      <w:spacing w:val="0"/>
      <w:w w:val="100"/>
      <w:position w:val="0"/>
      <w:sz w:val="26"/>
      <w:szCs w:val="26"/>
      <w:u w:val="single"/>
      <w:lang w:val="ro-RO" w:eastAsia="ro-RO" w:bidi="ro-RO"/>
    </w:rPr>
  </w:style>
  <w:style w:type="character" w:customStyle="1" w:styleId="Bodytext2Georgia">
    <w:name w:val="Body text (2) + Georgia"/>
    <w:aliases w:val="7 pt,Bold"/>
    <w:basedOn w:val="Bodytext2"/>
    <w:rPr>
      <w:rFonts w:ascii="Georgia" w:eastAsia="Georgia" w:hAnsi="Georgia" w:cs="Georgia"/>
      <w:b/>
      <w:bCs/>
      <w:i w:val="0"/>
      <w:iCs w:val="0"/>
      <w:smallCaps w:val="0"/>
      <w:strike w:val="0"/>
      <w:color w:val="000000"/>
      <w:spacing w:val="0"/>
      <w:w w:val="100"/>
      <w:position w:val="0"/>
      <w:sz w:val="14"/>
      <w:szCs w:val="14"/>
      <w:u w:val="none"/>
      <w:lang w:val="ro-RO" w:eastAsia="ro-RO" w:bidi="ro-RO"/>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6"/>
      <w:szCs w:val="26"/>
      <w:u w:val="single"/>
      <w:lang w:val="ro-RO" w:eastAsia="ro-RO" w:bidi="ro-RO"/>
    </w:rPr>
  </w:style>
  <w:style w:type="character" w:customStyle="1" w:styleId="Bodytext9NotItalic">
    <w:name w:val="Body text (9) + Not Italic"/>
    <w:basedOn w:val="Bodytext9"/>
    <w:rPr>
      <w:rFonts w:ascii="Calibri" w:eastAsia="Calibri" w:hAnsi="Calibri" w:cs="Calibri"/>
      <w:b w:val="0"/>
      <w:bCs w:val="0"/>
      <w:i/>
      <w:iCs/>
      <w:smallCaps w:val="0"/>
      <w:strike w:val="0"/>
      <w:color w:val="000000"/>
      <w:spacing w:val="0"/>
      <w:w w:val="100"/>
      <w:position w:val="0"/>
      <w:sz w:val="26"/>
      <w:szCs w:val="26"/>
      <w:u w:val="single"/>
      <w:lang w:val="ro-RO" w:eastAsia="ro-RO" w:bidi="ro-RO"/>
    </w:rPr>
  </w:style>
  <w:style w:type="character" w:customStyle="1" w:styleId="Bodytext91">
    <w:name w:val="Body text (9)"/>
    <w:basedOn w:val="Bodytext9"/>
    <w:rPr>
      <w:rFonts w:ascii="Calibri" w:eastAsia="Calibri" w:hAnsi="Calibri" w:cs="Calibri"/>
      <w:b w:val="0"/>
      <w:bCs w:val="0"/>
      <w:i/>
      <w:iCs/>
      <w:smallCaps w:val="0"/>
      <w:strike w:val="0"/>
      <w:color w:val="000000"/>
      <w:spacing w:val="0"/>
      <w:w w:val="100"/>
      <w:position w:val="0"/>
      <w:sz w:val="26"/>
      <w:szCs w:val="26"/>
      <w:u w:val="single"/>
      <w:lang w:val="ro-RO" w:eastAsia="ro-RO" w:bidi="ro-RO"/>
    </w:rPr>
  </w:style>
  <w:style w:type="character" w:customStyle="1" w:styleId="Heading22">
    <w:name w:val="Heading #2 (2)_"/>
    <w:basedOn w:val="DefaultParagraphFont"/>
    <w:link w:val="Heading220"/>
    <w:rPr>
      <w:rFonts w:ascii="Calibri" w:eastAsia="Calibri" w:hAnsi="Calibri" w:cs="Calibri"/>
      <w:b w:val="0"/>
      <w:bCs w:val="0"/>
      <w:i w:val="0"/>
      <w:iCs w:val="0"/>
      <w:smallCaps w:val="0"/>
      <w:strike w:val="0"/>
      <w:sz w:val="26"/>
      <w:szCs w:val="26"/>
      <w:u w:val="none"/>
    </w:rPr>
  </w:style>
  <w:style w:type="character" w:customStyle="1" w:styleId="Bodytext9NotItalic0">
    <w:name w:val="Body text (9) + Not Italic"/>
    <w:basedOn w:val="Bodytext9"/>
    <w:rPr>
      <w:rFonts w:ascii="Calibri" w:eastAsia="Calibri" w:hAnsi="Calibri" w:cs="Calibri"/>
      <w:b w:val="0"/>
      <w:bCs w:val="0"/>
      <w:i/>
      <w:iCs/>
      <w:smallCaps w:val="0"/>
      <w:strike w:val="0"/>
      <w:color w:val="000000"/>
      <w:spacing w:val="0"/>
      <w:w w:val="100"/>
      <w:position w:val="0"/>
      <w:sz w:val="26"/>
      <w:szCs w:val="26"/>
      <w:u w:val="none"/>
      <w:lang w:val="ro-RO" w:eastAsia="ro-RO" w:bidi="ro-RO"/>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6"/>
      <w:szCs w:val="26"/>
      <w:u w:val="none"/>
      <w:lang w:val="ro-RO" w:eastAsia="ro-RO" w:bidi="ro-RO"/>
    </w:rPr>
  </w:style>
  <w:style w:type="character" w:customStyle="1" w:styleId="Bodytext81">
    <w:name w:val="Body text (8)"/>
    <w:basedOn w:val="Bodytext8"/>
    <w:rPr>
      <w:rFonts w:ascii="Calibri" w:eastAsia="Calibri" w:hAnsi="Calibri" w:cs="Calibri"/>
      <w:b/>
      <w:bCs/>
      <w:i w:val="0"/>
      <w:iCs w:val="0"/>
      <w:smallCaps w:val="0"/>
      <w:strike w:val="0"/>
      <w:color w:val="000000"/>
      <w:spacing w:val="0"/>
      <w:w w:val="100"/>
      <w:position w:val="0"/>
      <w:sz w:val="26"/>
      <w:szCs w:val="26"/>
      <w:u w:val="single"/>
      <w:lang w:val="ro-RO" w:eastAsia="ro-RO" w:bidi="ro-RO"/>
    </w:rPr>
  </w:style>
  <w:style w:type="character" w:customStyle="1" w:styleId="Bodytext275pt">
    <w:name w:val="Body text (2) + 7.5 pt"/>
    <w:aliases w:val="Bold"/>
    <w:basedOn w:val="Bodytext2"/>
    <w:rPr>
      <w:rFonts w:ascii="Calibri" w:eastAsia="Calibri" w:hAnsi="Calibri" w:cs="Calibri"/>
      <w:b/>
      <w:bCs/>
      <w:i w:val="0"/>
      <w:iCs w:val="0"/>
      <w:smallCaps w:val="0"/>
      <w:strike w:val="0"/>
      <w:color w:val="000000"/>
      <w:spacing w:val="0"/>
      <w:w w:val="100"/>
      <w:position w:val="0"/>
      <w:sz w:val="15"/>
      <w:szCs w:val="15"/>
      <w:u w:val="none"/>
      <w:lang w:val="ro-RO" w:eastAsia="ro-RO" w:bidi="ro-RO"/>
    </w:rPr>
  </w:style>
  <w:style w:type="character" w:customStyle="1" w:styleId="Headerorfooter2">
    <w:name w:val="Header or footer (2)_"/>
    <w:basedOn w:val="DefaultParagraphFont"/>
    <w:link w:val="Headerorfooter20"/>
    <w:rPr>
      <w:rFonts w:ascii="Calibri" w:eastAsia="Calibri" w:hAnsi="Calibri" w:cs="Calibri"/>
      <w:b/>
      <w:bCs/>
      <w:i/>
      <w:iCs/>
      <w:smallCaps w:val="0"/>
      <w:strike w:val="0"/>
      <w:sz w:val="24"/>
      <w:szCs w:val="24"/>
      <w:u w:val="none"/>
    </w:rPr>
  </w:style>
  <w:style w:type="character" w:customStyle="1" w:styleId="Heading2NotBold">
    <w:name w:val="Heading #2 + Not Bold"/>
    <w:basedOn w:val="Heading2"/>
    <w:rPr>
      <w:rFonts w:ascii="Calibri" w:eastAsia="Calibri" w:hAnsi="Calibri" w:cs="Calibri"/>
      <w:b/>
      <w:bCs/>
      <w:i w:val="0"/>
      <w:iCs w:val="0"/>
      <w:smallCaps w:val="0"/>
      <w:strike w:val="0"/>
      <w:color w:val="000000"/>
      <w:spacing w:val="0"/>
      <w:w w:val="100"/>
      <w:position w:val="0"/>
      <w:sz w:val="26"/>
      <w:szCs w:val="26"/>
      <w:u w:val="none"/>
      <w:lang w:val="ro-RO" w:eastAsia="ro-RO" w:bidi="ro-RO"/>
    </w:rPr>
  </w:style>
  <w:style w:type="character" w:customStyle="1" w:styleId="Bodytext9Bold">
    <w:name w:val="Body text (9) + Bold"/>
    <w:aliases w:val="Not Italic"/>
    <w:basedOn w:val="Bodytext9"/>
    <w:rPr>
      <w:rFonts w:ascii="Calibri" w:eastAsia="Calibri" w:hAnsi="Calibri" w:cs="Calibri"/>
      <w:b/>
      <w:bCs/>
      <w:i/>
      <w:iCs/>
      <w:smallCaps w:val="0"/>
      <w:strike w:val="0"/>
      <w:color w:val="000000"/>
      <w:spacing w:val="0"/>
      <w:w w:val="100"/>
      <w:position w:val="0"/>
      <w:sz w:val="26"/>
      <w:szCs w:val="26"/>
      <w:u w:val="none"/>
      <w:lang w:val="ro-RO" w:eastAsia="ro-RO" w:bidi="ro-RO"/>
    </w:rPr>
  </w:style>
  <w:style w:type="character" w:customStyle="1" w:styleId="Headerorfooter21">
    <w:name w:val="Header or footer (2)"/>
    <w:basedOn w:val="Headerorfooter2"/>
    <w:rPr>
      <w:rFonts w:ascii="Calibri" w:eastAsia="Calibri" w:hAnsi="Calibri" w:cs="Calibri"/>
      <w:b/>
      <w:bCs/>
      <w:i/>
      <w:iCs/>
      <w:smallCaps w:val="0"/>
      <w:strike w:val="0"/>
      <w:color w:val="000000"/>
      <w:spacing w:val="0"/>
      <w:w w:val="100"/>
      <w:position w:val="0"/>
      <w:sz w:val="24"/>
      <w:szCs w:val="24"/>
      <w:u w:val="single"/>
      <w:lang w:val="ro-RO" w:eastAsia="ro-RO" w:bidi="ro-RO"/>
    </w:rPr>
  </w:style>
  <w:style w:type="character" w:customStyle="1" w:styleId="Bodytext7NotItalic0">
    <w:name w:val="Body text (7) + Not Italic"/>
    <w:basedOn w:val="Bodytext7"/>
    <w:rPr>
      <w:rFonts w:ascii="Calibri" w:eastAsia="Calibri" w:hAnsi="Calibri" w:cs="Calibri"/>
      <w:b/>
      <w:bCs/>
      <w:i/>
      <w:iCs/>
      <w:smallCaps w:val="0"/>
      <w:strike w:val="0"/>
      <w:color w:val="000000"/>
      <w:spacing w:val="0"/>
      <w:w w:val="100"/>
      <w:position w:val="0"/>
      <w:sz w:val="26"/>
      <w:szCs w:val="26"/>
      <w:u w:val="none"/>
      <w:lang w:val="ro-RO" w:eastAsia="ro-RO" w:bidi="ro-RO"/>
    </w:rPr>
  </w:style>
  <w:style w:type="character" w:customStyle="1" w:styleId="Heading221">
    <w:name w:val="Heading #2 (2)"/>
    <w:basedOn w:val="Heading22"/>
    <w:rPr>
      <w:rFonts w:ascii="Calibri" w:eastAsia="Calibri" w:hAnsi="Calibri" w:cs="Calibri"/>
      <w:b w:val="0"/>
      <w:bCs w:val="0"/>
      <w:i w:val="0"/>
      <w:iCs w:val="0"/>
      <w:smallCaps w:val="0"/>
      <w:strike w:val="0"/>
      <w:color w:val="000000"/>
      <w:spacing w:val="0"/>
      <w:w w:val="100"/>
      <w:position w:val="0"/>
      <w:sz w:val="26"/>
      <w:szCs w:val="26"/>
      <w:u w:val="single"/>
      <w:lang w:val="ro-RO" w:eastAsia="ro-RO" w:bidi="ro-RO"/>
    </w:rPr>
  </w:style>
  <w:style w:type="character" w:customStyle="1" w:styleId="Bodytext10">
    <w:name w:val="Body text (10)_"/>
    <w:basedOn w:val="DefaultParagraphFont"/>
    <w:link w:val="Bodytext100"/>
    <w:rPr>
      <w:rFonts w:ascii="Calibri" w:eastAsia="Calibri" w:hAnsi="Calibri" w:cs="Calibri"/>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after="420" w:line="0" w:lineRule="atLeast"/>
      <w:jc w:val="center"/>
    </w:pPr>
    <w:rPr>
      <w:rFonts w:ascii="Arial Narrow" w:eastAsia="Arial Narrow" w:hAnsi="Arial Narrow" w:cs="Arial Narrow"/>
      <w:b/>
      <w:bCs/>
      <w:sz w:val="40"/>
      <w:szCs w:val="40"/>
    </w:rPr>
  </w:style>
  <w:style w:type="paragraph" w:customStyle="1" w:styleId="Heading10">
    <w:name w:val="Heading #1"/>
    <w:basedOn w:val="Normal"/>
    <w:link w:val="Heading1"/>
    <w:pPr>
      <w:shd w:val="clear" w:color="auto" w:fill="FFFFFF"/>
      <w:spacing w:before="420" w:after="2220" w:line="0" w:lineRule="atLeast"/>
      <w:jc w:val="center"/>
      <w:outlineLvl w:val="0"/>
    </w:pPr>
    <w:rPr>
      <w:rFonts w:ascii="Arial Narrow" w:eastAsia="Arial Narrow" w:hAnsi="Arial Narrow" w:cs="Arial Narrow"/>
      <w:b/>
      <w:bCs/>
      <w:i/>
      <w:iCs/>
      <w:sz w:val="44"/>
      <w:szCs w:val="44"/>
    </w:rPr>
  </w:style>
  <w:style w:type="paragraph" w:customStyle="1" w:styleId="Bodytext40">
    <w:name w:val="Body text (4)"/>
    <w:basedOn w:val="Normal"/>
    <w:link w:val="Bodytext4"/>
    <w:pPr>
      <w:shd w:val="clear" w:color="auto" w:fill="FFFFFF"/>
      <w:spacing w:before="2220" w:after="600" w:line="0" w:lineRule="atLeast"/>
      <w:jc w:val="center"/>
    </w:pPr>
    <w:rPr>
      <w:rFonts w:ascii="Arial Narrow" w:eastAsia="Arial Narrow" w:hAnsi="Arial Narrow" w:cs="Arial Narrow"/>
      <w:b/>
      <w:bCs/>
      <w:sz w:val="28"/>
      <w:szCs w:val="28"/>
    </w:rPr>
  </w:style>
  <w:style w:type="paragraph" w:customStyle="1" w:styleId="Bodytext50">
    <w:name w:val="Body text (5)"/>
    <w:basedOn w:val="Normal"/>
    <w:link w:val="Bodytext5"/>
    <w:pPr>
      <w:shd w:val="clear" w:color="auto" w:fill="FFFFFF"/>
      <w:spacing w:before="600" w:line="480" w:lineRule="exact"/>
      <w:ind w:firstLine="760"/>
      <w:jc w:val="both"/>
    </w:pPr>
    <w:rPr>
      <w:rFonts w:ascii="Arial Narrow" w:eastAsia="Arial Narrow" w:hAnsi="Arial Narrow" w:cs="Arial Narrow"/>
      <w:sz w:val="28"/>
      <w:szCs w:val="28"/>
    </w:rPr>
  </w:style>
  <w:style w:type="paragraph" w:customStyle="1" w:styleId="Bodytext60">
    <w:name w:val="Body text (6)"/>
    <w:basedOn w:val="Normal"/>
    <w:link w:val="Bodytext6"/>
    <w:pPr>
      <w:shd w:val="clear" w:color="auto" w:fill="FFFFFF"/>
      <w:spacing w:before="900" w:line="0" w:lineRule="atLeast"/>
      <w:jc w:val="center"/>
    </w:pPr>
    <w:rPr>
      <w:rFonts w:ascii="Arial Narrow" w:eastAsia="Arial Narrow" w:hAnsi="Arial Narrow" w:cs="Arial Narrow"/>
      <w:b/>
      <w:bCs/>
      <w:w w:val="150"/>
      <w:sz w:val="28"/>
      <w:szCs w:val="28"/>
    </w:rPr>
  </w:style>
  <w:style w:type="paragraph" w:customStyle="1" w:styleId="Headerorfooter0">
    <w:name w:val="Header or footer"/>
    <w:basedOn w:val="Normal"/>
    <w:link w:val="Headerorfooter"/>
    <w:pPr>
      <w:shd w:val="clear" w:color="auto" w:fill="FFFFFF"/>
      <w:spacing w:line="0" w:lineRule="atLeast"/>
    </w:pPr>
    <w:rPr>
      <w:rFonts w:ascii="Segoe UI" w:eastAsia="Segoe UI" w:hAnsi="Segoe UI" w:cs="Segoe UI"/>
      <w:sz w:val="22"/>
      <w:szCs w:val="22"/>
    </w:rPr>
  </w:style>
  <w:style w:type="paragraph" w:customStyle="1" w:styleId="Bodytext70">
    <w:name w:val="Body text (7)"/>
    <w:basedOn w:val="Normal"/>
    <w:link w:val="Bodytext7"/>
    <w:pPr>
      <w:shd w:val="clear" w:color="auto" w:fill="FFFFFF"/>
      <w:spacing w:after="720" w:line="0" w:lineRule="atLeast"/>
      <w:ind w:hanging="1300"/>
      <w:jc w:val="right"/>
    </w:pPr>
    <w:rPr>
      <w:rFonts w:ascii="Calibri" w:eastAsia="Calibri" w:hAnsi="Calibri" w:cs="Calibri"/>
      <w:b/>
      <w:bCs/>
      <w:i/>
      <w:iCs/>
      <w:sz w:val="26"/>
      <w:szCs w:val="26"/>
    </w:rPr>
  </w:style>
  <w:style w:type="paragraph" w:customStyle="1" w:styleId="Heading20">
    <w:name w:val="Heading #2"/>
    <w:basedOn w:val="Normal"/>
    <w:link w:val="Heading2"/>
    <w:pPr>
      <w:shd w:val="clear" w:color="auto" w:fill="FFFFFF"/>
      <w:spacing w:before="720" w:after="60" w:line="0" w:lineRule="atLeast"/>
      <w:ind w:hanging="360"/>
      <w:jc w:val="center"/>
      <w:outlineLvl w:val="1"/>
    </w:pPr>
    <w:rPr>
      <w:rFonts w:ascii="Calibri" w:eastAsia="Calibri" w:hAnsi="Calibri" w:cs="Calibri"/>
      <w:b/>
      <w:bCs/>
      <w:sz w:val="26"/>
      <w:szCs w:val="26"/>
    </w:rPr>
  </w:style>
  <w:style w:type="paragraph" w:customStyle="1" w:styleId="Bodytext80">
    <w:name w:val="Body text (8)"/>
    <w:basedOn w:val="Normal"/>
    <w:link w:val="Bodytext8"/>
    <w:pPr>
      <w:shd w:val="clear" w:color="auto" w:fill="FFFFFF"/>
      <w:spacing w:before="60" w:after="720" w:line="0" w:lineRule="atLeast"/>
      <w:jc w:val="center"/>
    </w:pPr>
    <w:rPr>
      <w:rFonts w:ascii="Calibri" w:eastAsia="Calibri" w:hAnsi="Calibri" w:cs="Calibri"/>
      <w:b/>
      <w:bCs/>
      <w:sz w:val="26"/>
      <w:szCs w:val="26"/>
    </w:rPr>
  </w:style>
  <w:style w:type="paragraph" w:customStyle="1" w:styleId="Bodytext20">
    <w:name w:val="Body text (2)"/>
    <w:basedOn w:val="Normal"/>
    <w:link w:val="Bodytext2"/>
    <w:pPr>
      <w:shd w:val="clear" w:color="auto" w:fill="FFFFFF"/>
      <w:spacing w:before="420" w:after="240" w:line="317" w:lineRule="exact"/>
      <w:ind w:hanging="720"/>
      <w:jc w:val="both"/>
    </w:pPr>
    <w:rPr>
      <w:rFonts w:ascii="Calibri" w:eastAsia="Calibri" w:hAnsi="Calibri" w:cs="Calibri"/>
      <w:sz w:val="26"/>
      <w:szCs w:val="26"/>
    </w:rPr>
  </w:style>
  <w:style w:type="paragraph" w:customStyle="1" w:styleId="Bodytext90">
    <w:name w:val="Body text (9)"/>
    <w:basedOn w:val="Normal"/>
    <w:link w:val="Bodytext9"/>
    <w:pPr>
      <w:shd w:val="clear" w:color="auto" w:fill="FFFFFF"/>
      <w:spacing w:before="240" w:after="60" w:line="0" w:lineRule="atLeast"/>
      <w:jc w:val="both"/>
    </w:pPr>
    <w:rPr>
      <w:rFonts w:ascii="Calibri" w:eastAsia="Calibri" w:hAnsi="Calibri" w:cs="Calibri"/>
      <w:i/>
      <w:iCs/>
      <w:sz w:val="26"/>
      <w:szCs w:val="26"/>
    </w:rPr>
  </w:style>
  <w:style w:type="paragraph" w:customStyle="1" w:styleId="Heading220">
    <w:name w:val="Heading #2 (2)"/>
    <w:basedOn w:val="Normal"/>
    <w:link w:val="Heading22"/>
    <w:pPr>
      <w:shd w:val="clear" w:color="auto" w:fill="FFFFFF"/>
      <w:spacing w:before="420" w:after="300" w:line="312" w:lineRule="exact"/>
      <w:jc w:val="both"/>
      <w:outlineLvl w:val="1"/>
    </w:pPr>
    <w:rPr>
      <w:rFonts w:ascii="Calibri" w:eastAsia="Calibri" w:hAnsi="Calibri" w:cs="Calibri"/>
      <w:sz w:val="26"/>
      <w:szCs w:val="26"/>
    </w:rPr>
  </w:style>
  <w:style w:type="paragraph" w:customStyle="1" w:styleId="Headerorfooter20">
    <w:name w:val="Header or footer (2)"/>
    <w:basedOn w:val="Normal"/>
    <w:link w:val="Headerorfooter2"/>
    <w:pPr>
      <w:shd w:val="clear" w:color="auto" w:fill="FFFFFF"/>
      <w:spacing w:line="0" w:lineRule="atLeast"/>
    </w:pPr>
    <w:rPr>
      <w:rFonts w:ascii="Calibri" w:eastAsia="Calibri" w:hAnsi="Calibri" w:cs="Calibri"/>
      <w:b/>
      <w:bCs/>
      <w:i/>
      <w:iCs/>
    </w:rPr>
  </w:style>
  <w:style w:type="paragraph" w:customStyle="1" w:styleId="Bodytext100">
    <w:name w:val="Body text (10)"/>
    <w:basedOn w:val="Normal"/>
    <w:link w:val="Bodytext10"/>
    <w:pPr>
      <w:shd w:val="clear" w:color="auto" w:fill="FFFFFF"/>
      <w:spacing w:before="660" w:line="269" w:lineRule="exact"/>
      <w:jc w:val="both"/>
    </w:pPr>
    <w:rPr>
      <w:rFonts w:ascii="Calibri" w:eastAsia="Calibri" w:hAnsi="Calibri" w:cs="Calibri"/>
      <w:sz w:val="22"/>
      <w:szCs w:val="22"/>
    </w:rPr>
  </w:style>
  <w:style w:type="paragraph" w:styleId="IntenseQuote">
    <w:name w:val="Intense Quote"/>
    <w:basedOn w:val="Normal"/>
    <w:next w:val="Normal"/>
    <w:link w:val="IntenseQuoteChar"/>
    <w:uiPriority w:val="30"/>
    <w:qFormat/>
    <w:rsid w:val="00567E27"/>
    <w:pPr>
      <w:widowControl/>
      <w:pBdr>
        <w:bottom w:val="single" w:sz="4" w:space="4" w:color="4F81BD" w:themeColor="accent1"/>
      </w:pBdr>
      <w:spacing w:before="200" w:after="280" w:line="259" w:lineRule="auto"/>
      <w:ind w:left="936" w:right="936"/>
    </w:pPr>
    <w:rPr>
      <w:rFonts w:asciiTheme="minorHAnsi" w:eastAsiaTheme="minorHAnsi" w:hAnsiTheme="minorHAnsi" w:cstheme="minorBidi"/>
      <w:b/>
      <w:bCs/>
      <w:i/>
      <w:iCs/>
      <w:color w:val="4F81BD" w:themeColor="accent1"/>
      <w:sz w:val="22"/>
      <w:szCs w:val="22"/>
      <w:lang w:eastAsia="en-US" w:bidi="ar-SA"/>
    </w:rPr>
  </w:style>
  <w:style w:type="character" w:customStyle="1" w:styleId="IntenseQuoteChar">
    <w:name w:val="Intense Quote Char"/>
    <w:basedOn w:val="DefaultParagraphFont"/>
    <w:link w:val="IntenseQuote"/>
    <w:uiPriority w:val="30"/>
    <w:rsid w:val="00567E27"/>
    <w:rPr>
      <w:rFonts w:asciiTheme="minorHAnsi" w:eastAsiaTheme="minorHAnsi" w:hAnsiTheme="minorHAnsi" w:cstheme="minorBidi"/>
      <w:b/>
      <w:bCs/>
      <w:i/>
      <w:iCs/>
      <w:color w:val="4F81BD" w:themeColor="accent1"/>
      <w:sz w:val="22"/>
      <w:szCs w:val="22"/>
      <w:lang w:eastAsia="en-US" w:bidi="ar-SA"/>
    </w:rPr>
  </w:style>
  <w:style w:type="paragraph" w:styleId="ListParagraph">
    <w:name w:val="List Paragraph"/>
    <w:basedOn w:val="Normal"/>
    <w:uiPriority w:val="34"/>
    <w:qFormat/>
    <w:rsid w:val="00550B95"/>
    <w:pPr>
      <w:ind w:left="720"/>
      <w:contextualSpacing/>
    </w:pPr>
  </w:style>
  <w:style w:type="character" w:customStyle="1" w:styleId="Heading3Char">
    <w:name w:val="Heading 3 Char"/>
    <w:basedOn w:val="DefaultParagraphFont"/>
    <w:link w:val="Heading3"/>
    <w:rsid w:val="00D67FF7"/>
    <w:rPr>
      <w:rFonts w:ascii="Times New Roman" w:eastAsia="Times New Roman" w:hAnsi="Times New Roman" w:cs="Times New Roman"/>
      <w:b/>
      <w:bCs/>
      <w:sz w:val="26"/>
      <w:lang w:bidi="ar-SA"/>
    </w:rPr>
  </w:style>
  <w:style w:type="character" w:customStyle="1" w:styleId="Heading4Char">
    <w:name w:val="Heading 4 Char"/>
    <w:basedOn w:val="DefaultParagraphFont"/>
    <w:link w:val="Heading4"/>
    <w:rsid w:val="00D67FF7"/>
    <w:rPr>
      <w:rFonts w:ascii="Times New Roman" w:eastAsia="Times New Roman" w:hAnsi="Times New Roman" w:cs="Times New Roman"/>
      <w:sz w:val="28"/>
      <w:lang w:bidi="ar-SA"/>
    </w:rPr>
  </w:style>
  <w:style w:type="paragraph" w:styleId="BalloonText">
    <w:name w:val="Balloon Text"/>
    <w:basedOn w:val="Normal"/>
    <w:link w:val="BalloonTextChar"/>
    <w:uiPriority w:val="99"/>
    <w:semiHidden/>
    <w:unhideWhenUsed/>
    <w:rsid w:val="00550624"/>
    <w:rPr>
      <w:rFonts w:ascii="Tahoma" w:hAnsi="Tahoma" w:cs="Tahoma"/>
      <w:sz w:val="16"/>
      <w:szCs w:val="16"/>
    </w:rPr>
  </w:style>
  <w:style w:type="character" w:customStyle="1" w:styleId="BalloonTextChar">
    <w:name w:val="Balloon Text Char"/>
    <w:basedOn w:val="DefaultParagraphFont"/>
    <w:link w:val="BalloonText"/>
    <w:uiPriority w:val="99"/>
    <w:semiHidden/>
    <w:rsid w:val="00550624"/>
    <w:rPr>
      <w:rFonts w:ascii="Tahoma" w:hAnsi="Tahoma" w:cs="Tahoma"/>
      <w:color w:val="000000"/>
      <w:sz w:val="16"/>
      <w:szCs w:val="16"/>
    </w:rPr>
  </w:style>
  <w:style w:type="paragraph" w:styleId="Header">
    <w:name w:val="header"/>
    <w:basedOn w:val="Normal"/>
    <w:link w:val="HeaderChar"/>
    <w:uiPriority w:val="99"/>
    <w:unhideWhenUsed/>
    <w:rsid w:val="0056761D"/>
    <w:pPr>
      <w:tabs>
        <w:tab w:val="center" w:pos="4513"/>
        <w:tab w:val="right" w:pos="9026"/>
      </w:tabs>
    </w:pPr>
  </w:style>
  <w:style w:type="character" w:customStyle="1" w:styleId="HeaderChar">
    <w:name w:val="Header Char"/>
    <w:basedOn w:val="DefaultParagraphFont"/>
    <w:link w:val="Header"/>
    <w:uiPriority w:val="99"/>
    <w:rsid w:val="0056761D"/>
    <w:rPr>
      <w:color w:val="000000"/>
    </w:rPr>
  </w:style>
  <w:style w:type="paragraph" w:styleId="Footer">
    <w:name w:val="footer"/>
    <w:basedOn w:val="Normal"/>
    <w:link w:val="FooterChar"/>
    <w:uiPriority w:val="99"/>
    <w:unhideWhenUsed/>
    <w:rsid w:val="0056761D"/>
    <w:pPr>
      <w:tabs>
        <w:tab w:val="center" w:pos="4513"/>
        <w:tab w:val="right" w:pos="9026"/>
      </w:tabs>
    </w:pPr>
  </w:style>
  <w:style w:type="character" w:customStyle="1" w:styleId="FooterChar">
    <w:name w:val="Footer Char"/>
    <w:basedOn w:val="DefaultParagraphFont"/>
    <w:link w:val="Footer"/>
    <w:uiPriority w:val="99"/>
    <w:rsid w:val="005676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pp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atrice.andresan.ro/p/a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r.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vce.eu/" TargetMode="External"/><Relationship Id="rId4" Type="http://schemas.openxmlformats.org/officeDocument/2006/relationships/settings" Target="settings.xml"/><Relationship Id="rId9" Type="http://schemas.openxmlformats.org/officeDocument/2006/relationships/hyperlink" Target="http://www.curia.europa.e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E083-23BD-4004-A7D8-61B6960A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7598</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MORECUT</dc:creator>
  <cp:lastModifiedBy>Sandu Gherasim</cp:lastModifiedBy>
  <cp:revision>5</cp:revision>
  <cp:lastPrinted>2018-07-02T10:15:00Z</cp:lastPrinted>
  <dcterms:created xsi:type="dcterms:W3CDTF">2018-07-02T11:05:00Z</dcterms:created>
  <dcterms:modified xsi:type="dcterms:W3CDTF">2018-07-02T13:40:00Z</dcterms:modified>
</cp:coreProperties>
</file>