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744E" w:rsidRPr="00D30136" w:rsidRDefault="0009744E" w:rsidP="0009744E">
      <w:pPr>
        <w:autoSpaceDN w:val="0"/>
        <w:adjustRightInd w:val="0"/>
        <w:spacing w:after="0" w:line="240" w:lineRule="auto"/>
        <w:jc w:val="right"/>
        <w:rPr>
          <w:rFonts w:asciiTheme="minorHAnsi" w:hAnsiTheme="minorHAnsi" w:cstheme="minorHAnsi"/>
          <w:b/>
          <w:bCs/>
          <w:color w:val="000000"/>
          <w:sz w:val="26"/>
          <w:szCs w:val="26"/>
          <w:lang w:val="ro-RO"/>
        </w:rPr>
      </w:pPr>
      <w:bookmarkStart w:id="0" w:name="_GoBack"/>
      <w:bookmarkEnd w:id="0"/>
      <w:r w:rsidRPr="00D30136">
        <w:rPr>
          <w:rFonts w:asciiTheme="minorHAnsi" w:hAnsiTheme="minorHAnsi" w:cstheme="minorHAnsi"/>
          <w:sz w:val="26"/>
          <w:szCs w:val="26"/>
          <w:lang w:val="ro-RO"/>
        </w:rPr>
        <w:drawing>
          <wp:anchor distT="0" distB="0" distL="114300" distR="114300" simplePos="0" relativeHeight="251659264" behindDoc="1" locked="0" layoutInCell="1" allowOverlap="1" wp14:anchorId="64BD5A47" wp14:editId="4F3D39BF">
            <wp:simplePos x="0" y="0"/>
            <wp:positionH relativeFrom="column">
              <wp:posOffset>14605</wp:posOffset>
            </wp:positionH>
            <wp:positionV relativeFrom="paragraph">
              <wp:posOffset>114300</wp:posOffset>
            </wp:positionV>
            <wp:extent cx="914400" cy="914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pic:spPr>
                </pic:pic>
              </a:graphicData>
            </a:graphic>
            <wp14:sizeRelH relativeFrom="page">
              <wp14:pctWidth>0</wp14:pctWidth>
            </wp14:sizeRelH>
            <wp14:sizeRelV relativeFrom="page">
              <wp14:pctHeight>0</wp14:pctHeight>
            </wp14:sizeRelV>
          </wp:anchor>
        </w:drawing>
      </w:r>
      <w:r w:rsidRPr="00D30136">
        <w:rPr>
          <w:rFonts w:asciiTheme="minorHAnsi" w:hAnsiTheme="minorHAnsi" w:cstheme="minorHAnsi"/>
          <w:b/>
          <w:bCs/>
          <w:color w:val="000000"/>
          <w:sz w:val="26"/>
          <w:szCs w:val="26"/>
          <w:lang w:val="ro-RO"/>
        </w:rPr>
        <w:t xml:space="preserve">INSTITUTUL NAŢIONAL PENTRU </w:t>
      </w:r>
    </w:p>
    <w:p w:rsidR="0009744E" w:rsidRPr="00D30136" w:rsidRDefault="0009744E" w:rsidP="0009744E">
      <w:pPr>
        <w:autoSpaceDN w:val="0"/>
        <w:adjustRightInd w:val="0"/>
        <w:spacing w:after="0" w:line="240" w:lineRule="auto"/>
        <w:jc w:val="right"/>
        <w:rPr>
          <w:rFonts w:asciiTheme="minorHAnsi" w:hAnsiTheme="minorHAnsi" w:cstheme="minorHAnsi"/>
          <w:b/>
          <w:bCs/>
          <w:color w:val="000000"/>
          <w:sz w:val="26"/>
          <w:szCs w:val="26"/>
          <w:lang w:val="ro-RO"/>
        </w:rPr>
      </w:pPr>
      <w:r w:rsidRPr="00D30136">
        <w:rPr>
          <w:rFonts w:asciiTheme="minorHAnsi" w:hAnsiTheme="minorHAnsi" w:cstheme="minorHAnsi"/>
          <w:b/>
          <w:bCs/>
          <w:color w:val="000000"/>
          <w:sz w:val="26"/>
          <w:szCs w:val="26"/>
          <w:lang w:val="ro-RO"/>
        </w:rPr>
        <w:t xml:space="preserve">PREGĂTIREA ŞI PERFECŢIONAREA AVOCAŢILOR </w:t>
      </w:r>
    </w:p>
    <w:p w:rsidR="0009744E" w:rsidRPr="00D30136" w:rsidRDefault="0009744E" w:rsidP="0009744E">
      <w:pPr>
        <w:autoSpaceDN w:val="0"/>
        <w:adjustRightInd w:val="0"/>
        <w:spacing w:after="0" w:line="240" w:lineRule="auto"/>
        <w:jc w:val="right"/>
        <w:rPr>
          <w:rFonts w:asciiTheme="minorHAnsi" w:hAnsiTheme="minorHAnsi" w:cstheme="minorHAnsi"/>
          <w:b/>
          <w:bCs/>
          <w:color w:val="000000"/>
          <w:sz w:val="26"/>
          <w:szCs w:val="26"/>
          <w:lang w:val="ro-RO"/>
        </w:rPr>
      </w:pPr>
    </w:p>
    <w:p w:rsidR="0009744E" w:rsidRPr="00D30136" w:rsidRDefault="0009744E" w:rsidP="0009744E">
      <w:pPr>
        <w:autoSpaceDN w:val="0"/>
        <w:adjustRightInd w:val="0"/>
        <w:spacing w:after="0" w:line="240" w:lineRule="auto"/>
        <w:jc w:val="right"/>
        <w:rPr>
          <w:rFonts w:asciiTheme="minorHAnsi" w:hAnsiTheme="minorHAnsi" w:cstheme="minorHAnsi"/>
          <w:b/>
          <w:bCs/>
          <w:color w:val="000000"/>
          <w:sz w:val="26"/>
          <w:szCs w:val="26"/>
          <w:lang w:val="ro-RO"/>
        </w:rPr>
      </w:pPr>
      <w:r w:rsidRPr="00D30136">
        <w:rPr>
          <w:rFonts w:asciiTheme="minorHAnsi" w:hAnsiTheme="minorHAnsi" w:cstheme="minorHAnsi"/>
          <w:b/>
          <w:bCs/>
          <w:color w:val="000000"/>
          <w:sz w:val="26"/>
          <w:szCs w:val="26"/>
          <w:lang w:val="ro-RO"/>
        </w:rPr>
        <w:t>EXAMEN ABSOLVIRE</w:t>
      </w:r>
    </w:p>
    <w:p w:rsidR="0009744E" w:rsidRPr="00D30136" w:rsidRDefault="0009744E" w:rsidP="0009744E">
      <w:pPr>
        <w:autoSpaceDN w:val="0"/>
        <w:adjustRightInd w:val="0"/>
        <w:spacing w:after="0" w:line="240" w:lineRule="auto"/>
        <w:jc w:val="right"/>
        <w:rPr>
          <w:rFonts w:asciiTheme="minorHAnsi" w:hAnsiTheme="minorHAnsi" w:cstheme="minorHAnsi"/>
          <w:b/>
          <w:bCs/>
          <w:color w:val="000000"/>
          <w:sz w:val="26"/>
          <w:szCs w:val="26"/>
          <w:lang w:val="ro-RO"/>
        </w:rPr>
      </w:pPr>
      <w:r w:rsidRPr="00D30136">
        <w:rPr>
          <w:rFonts w:asciiTheme="minorHAnsi" w:hAnsiTheme="minorHAnsi" w:cstheme="minorHAnsi"/>
          <w:b/>
          <w:bCs/>
          <w:color w:val="000000"/>
          <w:sz w:val="26"/>
          <w:szCs w:val="26"/>
          <w:lang w:val="ro-RO"/>
        </w:rPr>
        <w:t xml:space="preserve">SESIUNEA NOIEMBRIE 2018 </w:t>
      </w:r>
    </w:p>
    <w:p w:rsidR="00B53E5C" w:rsidRPr="00D30136" w:rsidRDefault="00016607" w:rsidP="0032346F">
      <w:pPr>
        <w:spacing w:after="0"/>
        <w:jc w:val="both"/>
        <w:rPr>
          <w:rFonts w:asciiTheme="minorHAnsi" w:hAnsiTheme="minorHAnsi" w:cstheme="minorHAnsi"/>
          <w:b/>
          <w:i/>
          <w:sz w:val="26"/>
          <w:szCs w:val="26"/>
          <w:lang w:val="ro-RO"/>
        </w:rPr>
      </w:pPr>
      <w:r w:rsidRPr="00D30136">
        <w:rPr>
          <w:rFonts w:asciiTheme="minorHAnsi" w:hAnsiTheme="minorHAnsi" w:cstheme="minorHAnsi"/>
          <w:b/>
          <w:i/>
          <w:sz w:val="26"/>
          <w:szCs w:val="26"/>
          <w:lang w:val="ro-RO"/>
        </w:rPr>
        <w:t xml:space="preserve">Dreptul </w:t>
      </w:r>
      <w:r w:rsidR="00D30136" w:rsidRPr="00D30136">
        <w:rPr>
          <w:rFonts w:asciiTheme="minorHAnsi" w:hAnsiTheme="minorHAnsi" w:cstheme="minorHAnsi"/>
          <w:b/>
          <w:i/>
          <w:sz w:val="26"/>
          <w:szCs w:val="26"/>
          <w:lang w:val="ro-RO"/>
        </w:rPr>
        <w:t>Uniunii Europene</w:t>
      </w:r>
    </w:p>
    <w:p w:rsidR="00870748" w:rsidRPr="00D30136" w:rsidRDefault="00870748" w:rsidP="00B53E5C">
      <w:pPr>
        <w:spacing w:after="0"/>
        <w:jc w:val="both"/>
        <w:rPr>
          <w:rFonts w:asciiTheme="minorHAnsi" w:hAnsiTheme="minorHAnsi" w:cstheme="minorHAnsi"/>
          <w:b/>
          <w:sz w:val="26"/>
          <w:szCs w:val="26"/>
          <w:lang w:val="ro-RO"/>
        </w:rPr>
      </w:pPr>
    </w:p>
    <w:p w:rsidR="00870748" w:rsidRPr="00D30136" w:rsidRDefault="00016607" w:rsidP="0032346F">
      <w:pPr>
        <w:spacing w:after="0"/>
        <w:jc w:val="both"/>
        <w:rPr>
          <w:rFonts w:asciiTheme="minorHAnsi" w:hAnsiTheme="minorHAnsi" w:cstheme="minorHAnsi"/>
          <w:b/>
          <w:i/>
          <w:sz w:val="26"/>
          <w:szCs w:val="26"/>
          <w:u w:val="single"/>
          <w:lang w:val="ro-RO"/>
        </w:rPr>
      </w:pPr>
      <w:r w:rsidRPr="00D30136">
        <w:rPr>
          <w:rFonts w:asciiTheme="minorHAnsi" w:hAnsiTheme="minorHAnsi" w:cstheme="minorHAnsi"/>
          <w:b/>
          <w:i/>
          <w:sz w:val="26"/>
          <w:szCs w:val="26"/>
          <w:u w:val="single"/>
          <w:lang w:val="ro-RO"/>
        </w:rPr>
        <w:t>Speţa 1</w:t>
      </w:r>
    </w:p>
    <w:p w:rsidR="00B53E5C" w:rsidRPr="00D30136" w:rsidRDefault="00B53E5C" w:rsidP="00D30136">
      <w:pPr>
        <w:spacing w:after="0" w:line="240" w:lineRule="auto"/>
        <w:ind w:firstLine="720"/>
        <w:jc w:val="both"/>
        <w:rPr>
          <w:rFonts w:asciiTheme="minorHAnsi" w:hAnsiTheme="minorHAnsi" w:cstheme="minorHAnsi"/>
          <w:b/>
          <w:sz w:val="26"/>
          <w:szCs w:val="26"/>
          <w:lang w:val="ro-RO"/>
        </w:rPr>
      </w:pPr>
    </w:p>
    <w:p w:rsidR="00D30136" w:rsidRPr="00D30136" w:rsidRDefault="00D30136" w:rsidP="00D30136">
      <w:pPr>
        <w:spacing w:after="0" w:line="240" w:lineRule="auto"/>
        <w:ind w:firstLine="720"/>
        <w:jc w:val="both"/>
        <w:rPr>
          <w:rFonts w:asciiTheme="minorHAnsi" w:hAnsiTheme="minorHAnsi" w:cstheme="minorHAnsi"/>
          <w:sz w:val="26"/>
          <w:szCs w:val="26"/>
          <w:lang w:val="ro-RO"/>
        </w:rPr>
      </w:pPr>
      <w:r w:rsidRPr="00D30136">
        <w:rPr>
          <w:rFonts w:asciiTheme="minorHAnsi" w:hAnsiTheme="minorHAnsi" w:cstheme="minorHAnsi"/>
          <w:sz w:val="26"/>
          <w:szCs w:val="26"/>
          <w:lang w:val="ro-RO"/>
        </w:rPr>
        <w:t xml:space="preserve">Societatea </w:t>
      </w:r>
      <w:r w:rsidRPr="00D30136">
        <w:rPr>
          <w:rFonts w:asciiTheme="minorHAnsi" w:hAnsiTheme="minorHAnsi" w:cstheme="minorHAnsi"/>
          <w:i/>
          <w:sz w:val="26"/>
          <w:szCs w:val="26"/>
          <w:lang w:val="ro-RO"/>
        </w:rPr>
        <w:t xml:space="preserve">Back </w:t>
      </w:r>
      <w:proofErr w:type="spellStart"/>
      <w:r w:rsidRPr="00D30136">
        <w:rPr>
          <w:rFonts w:asciiTheme="minorHAnsi" w:hAnsiTheme="minorHAnsi" w:cstheme="minorHAnsi"/>
          <w:i/>
          <w:sz w:val="26"/>
          <w:szCs w:val="26"/>
          <w:lang w:val="ro-RO"/>
        </w:rPr>
        <w:t>to</w:t>
      </w:r>
      <w:proofErr w:type="spellEnd"/>
      <w:r w:rsidRPr="00D30136">
        <w:rPr>
          <w:rFonts w:asciiTheme="minorHAnsi" w:hAnsiTheme="minorHAnsi" w:cstheme="minorHAnsi"/>
          <w:i/>
          <w:sz w:val="26"/>
          <w:szCs w:val="26"/>
          <w:lang w:val="ro-RO"/>
        </w:rPr>
        <w:t xml:space="preserve"> </w:t>
      </w:r>
      <w:proofErr w:type="spellStart"/>
      <w:r w:rsidRPr="00D30136">
        <w:rPr>
          <w:rFonts w:asciiTheme="minorHAnsi" w:hAnsiTheme="minorHAnsi" w:cstheme="minorHAnsi"/>
          <w:i/>
          <w:sz w:val="26"/>
          <w:szCs w:val="26"/>
          <w:lang w:val="ro-RO"/>
        </w:rPr>
        <w:t>School</w:t>
      </w:r>
      <w:proofErr w:type="spellEnd"/>
      <w:r w:rsidRPr="00D30136">
        <w:rPr>
          <w:rFonts w:asciiTheme="minorHAnsi" w:hAnsiTheme="minorHAnsi" w:cstheme="minorHAnsi"/>
          <w:i/>
          <w:sz w:val="26"/>
          <w:szCs w:val="26"/>
          <w:lang w:val="ro-RO"/>
        </w:rPr>
        <w:t xml:space="preserve">¸ </w:t>
      </w:r>
      <w:r w:rsidRPr="00D30136">
        <w:rPr>
          <w:rFonts w:asciiTheme="minorHAnsi" w:hAnsiTheme="minorHAnsi" w:cstheme="minorHAnsi"/>
          <w:sz w:val="26"/>
          <w:szCs w:val="26"/>
          <w:lang w:val="ro-RO"/>
        </w:rPr>
        <w:t xml:space="preserve">având naționalitatea unui stat membru al Uniunii Europene, este specializată în domeniul educaţiei, oferind servicii de formare prin intermediul unei pagini pentru fani găzduite de </w:t>
      </w:r>
      <w:proofErr w:type="spellStart"/>
      <w:r w:rsidRPr="00D30136">
        <w:rPr>
          <w:rFonts w:asciiTheme="minorHAnsi" w:hAnsiTheme="minorHAnsi" w:cstheme="minorHAnsi"/>
          <w:sz w:val="26"/>
          <w:szCs w:val="26"/>
          <w:lang w:val="ro-RO"/>
        </w:rPr>
        <w:t>Facebook</w:t>
      </w:r>
      <w:proofErr w:type="spellEnd"/>
      <w:r w:rsidRPr="00D30136">
        <w:rPr>
          <w:rFonts w:asciiTheme="minorHAnsi" w:hAnsiTheme="minorHAnsi" w:cstheme="minorHAnsi"/>
          <w:sz w:val="26"/>
          <w:szCs w:val="26"/>
          <w:lang w:val="ro-RO"/>
        </w:rPr>
        <w:t xml:space="preserve"> la adresa www.facebook.com/backtoschool. </w:t>
      </w:r>
    </w:p>
    <w:p w:rsidR="00D30136" w:rsidRPr="00D30136" w:rsidRDefault="00D30136" w:rsidP="00D30136">
      <w:pPr>
        <w:spacing w:after="0" w:line="240" w:lineRule="auto"/>
        <w:ind w:firstLine="720"/>
        <w:jc w:val="both"/>
        <w:rPr>
          <w:rFonts w:asciiTheme="minorHAnsi" w:hAnsiTheme="minorHAnsi" w:cstheme="minorHAnsi"/>
          <w:sz w:val="26"/>
          <w:szCs w:val="26"/>
          <w:lang w:val="ro-RO"/>
        </w:rPr>
      </w:pPr>
      <w:r w:rsidRPr="00D30136">
        <w:rPr>
          <w:rFonts w:asciiTheme="minorHAnsi" w:hAnsiTheme="minorHAnsi" w:cstheme="minorHAnsi"/>
          <w:sz w:val="26"/>
          <w:szCs w:val="26"/>
          <w:lang w:val="ro-RO"/>
        </w:rPr>
        <w:t xml:space="preserve">Administratorul acestei pagini poate obţine date statistice anonime privind vizitatorii paginii cu ajutorul unei funcţii intitulate </w:t>
      </w:r>
      <w:proofErr w:type="spellStart"/>
      <w:r w:rsidRPr="00D30136">
        <w:rPr>
          <w:rFonts w:asciiTheme="minorHAnsi" w:hAnsiTheme="minorHAnsi" w:cstheme="minorHAnsi"/>
          <w:sz w:val="26"/>
          <w:szCs w:val="26"/>
          <w:lang w:val="ro-RO"/>
        </w:rPr>
        <w:t>Facebook</w:t>
      </w:r>
      <w:proofErr w:type="spellEnd"/>
      <w:r w:rsidRPr="00D30136">
        <w:rPr>
          <w:rFonts w:asciiTheme="minorHAnsi" w:hAnsiTheme="minorHAnsi" w:cstheme="minorHAnsi"/>
          <w:sz w:val="26"/>
          <w:szCs w:val="26"/>
          <w:lang w:val="ro-RO"/>
        </w:rPr>
        <w:t xml:space="preserve"> </w:t>
      </w:r>
      <w:proofErr w:type="spellStart"/>
      <w:r w:rsidRPr="00D30136">
        <w:rPr>
          <w:rFonts w:asciiTheme="minorHAnsi" w:hAnsiTheme="minorHAnsi" w:cstheme="minorHAnsi"/>
          <w:sz w:val="26"/>
          <w:szCs w:val="26"/>
          <w:lang w:val="ro-RO"/>
        </w:rPr>
        <w:t>Insight</w:t>
      </w:r>
      <w:proofErr w:type="spellEnd"/>
      <w:r w:rsidRPr="00D30136">
        <w:rPr>
          <w:rFonts w:asciiTheme="minorHAnsi" w:hAnsiTheme="minorHAnsi" w:cstheme="minorHAnsi"/>
          <w:sz w:val="26"/>
          <w:szCs w:val="26"/>
          <w:lang w:val="ro-RO"/>
        </w:rPr>
        <w:t xml:space="preserve">, puse în mod gratuit la dispoziția sa de </w:t>
      </w:r>
      <w:proofErr w:type="spellStart"/>
      <w:r w:rsidRPr="00D30136">
        <w:rPr>
          <w:rFonts w:asciiTheme="minorHAnsi" w:hAnsiTheme="minorHAnsi" w:cstheme="minorHAnsi"/>
          <w:sz w:val="26"/>
          <w:szCs w:val="26"/>
          <w:lang w:val="ro-RO"/>
        </w:rPr>
        <w:t>Facebook</w:t>
      </w:r>
      <w:proofErr w:type="spellEnd"/>
      <w:r w:rsidRPr="00D30136">
        <w:rPr>
          <w:rFonts w:asciiTheme="minorHAnsi" w:hAnsiTheme="minorHAnsi" w:cstheme="minorHAnsi"/>
          <w:sz w:val="26"/>
          <w:szCs w:val="26"/>
          <w:lang w:val="ro-RO"/>
        </w:rPr>
        <w:t xml:space="preserve">, potrivit condițiilor de utilizare care nu pot fi modificate. Aceste date sunt colectate cu ajutorul unor fişiere-martori („cookies”) care conţin, fiecare, câte un cod de utilizator unic, active timp de doi ani şi salvate de </w:t>
      </w:r>
      <w:proofErr w:type="spellStart"/>
      <w:r w:rsidRPr="00D30136">
        <w:rPr>
          <w:rFonts w:asciiTheme="minorHAnsi" w:hAnsiTheme="minorHAnsi" w:cstheme="minorHAnsi"/>
          <w:sz w:val="26"/>
          <w:szCs w:val="26"/>
          <w:lang w:val="ro-RO"/>
        </w:rPr>
        <w:t>Facebook</w:t>
      </w:r>
      <w:proofErr w:type="spellEnd"/>
      <w:r w:rsidRPr="00D30136">
        <w:rPr>
          <w:rFonts w:asciiTheme="minorHAnsi" w:hAnsiTheme="minorHAnsi" w:cstheme="minorHAnsi"/>
          <w:sz w:val="26"/>
          <w:szCs w:val="26"/>
          <w:lang w:val="ro-RO"/>
        </w:rPr>
        <w:t xml:space="preserve">. Codul de utilizator, care poate stabili o legătură cu datele de conectare ale utilizatorilor înregistrați pe </w:t>
      </w:r>
      <w:proofErr w:type="spellStart"/>
      <w:r w:rsidRPr="00D30136">
        <w:rPr>
          <w:rFonts w:asciiTheme="minorHAnsi" w:hAnsiTheme="minorHAnsi" w:cstheme="minorHAnsi"/>
          <w:sz w:val="26"/>
          <w:szCs w:val="26"/>
          <w:lang w:val="ro-RO"/>
        </w:rPr>
        <w:t>Facebook</w:t>
      </w:r>
      <w:proofErr w:type="spellEnd"/>
      <w:r w:rsidRPr="00D30136">
        <w:rPr>
          <w:rFonts w:asciiTheme="minorHAnsi" w:hAnsiTheme="minorHAnsi" w:cstheme="minorHAnsi"/>
          <w:sz w:val="26"/>
          <w:szCs w:val="26"/>
          <w:lang w:val="ro-RO"/>
        </w:rPr>
        <w:t>, este colectat și prelucrat în momentul deschiderii paginilor pentru fani.</w:t>
      </w:r>
    </w:p>
    <w:p w:rsidR="00D30136" w:rsidRPr="00D30136" w:rsidRDefault="00D30136" w:rsidP="00D30136">
      <w:pPr>
        <w:spacing w:after="0" w:line="240" w:lineRule="auto"/>
        <w:ind w:firstLine="720"/>
        <w:jc w:val="both"/>
        <w:rPr>
          <w:rFonts w:asciiTheme="minorHAnsi" w:hAnsiTheme="minorHAnsi" w:cstheme="minorHAnsi"/>
          <w:sz w:val="26"/>
          <w:szCs w:val="26"/>
          <w:lang w:val="ro-RO"/>
        </w:rPr>
      </w:pPr>
      <w:r w:rsidRPr="00D30136">
        <w:rPr>
          <w:rFonts w:asciiTheme="minorHAnsi" w:hAnsiTheme="minorHAnsi" w:cstheme="minorHAnsi"/>
          <w:sz w:val="26"/>
          <w:szCs w:val="26"/>
          <w:lang w:val="ro-RO"/>
        </w:rPr>
        <w:t xml:space="preserve">La data de 3 septembrie 2018, societatea </w:t>
      </w:r>
      <w:r w:rsidRPr="00D30136">
        <w:rPr>
          <w:rFonts w:asciiTheme="minorHAnsi" w:hAnsiTheme="minorHAnsi" w:cstheme="minorHAnsi"/>
          <w:i/>
          <w:sz w:val="26"/>
          <w:szCs w:val="26"/>
          <w:lang w:val="ro-RO"/>
        </w:rPr>
        <w:t xml:space="preserve">Back </w:t>
      </w:r>
      <w:proofErr w:type="spellStart"/>
      <w:r w:rsidRPr="00D30136">
        <w:rPr>
          <w:rFonts w:asciiTheme="minorHAnsi" w:hAnsiTheme="minorHAnsi" w:cstheme="minorHAnsi"/>
          <w:i/>
          <w:sz w:val="26"/>
          <w:szCs w:val="26"/>
          <w:lang w:val="ro-RO"/>
        </w:rPr>
        <w:t>to</w:t>
      </w:r>
      <w:proofErr w:type="spellEnd"/>
      <w:r w:rsidRPr="00D30136">
        <w:rPr>
          <w:rFonts w:asciiTheme="minorHAnsi" w:hAnsiTheme="minorHAnsi" w:cstheme="minorHAnsi"/>
          <w:i/>
          <w:sz w:val="26"/>
          <w:szCs w:val="26"/>
          <w:lang w:val="ro-RO"/>
        </w:rPr>
        <w:t xml:space="preserve"> </w:t>
      </w:r>
      <w:proofErr w:type="spellStart"/>
      <w:r w:rsidRPr="00D30136">
        <w:rPr>
          <w:rFonts w:asciiTheme="minorHAnsi" w:hAnsiTheme="minorHAnsi" w:cstheme="minorHAnsi"/>
          <w:i/>
          <w:sz w:val="26"/>
          <w:szCs w:val="26"/>
          <w:lang w:val="ro-RO"/>
        </w:rPr>
        <w:t>School</w:t>
      </w:r>
      <w:proofErr w:type="spellEnd"/>
      <w:r w:rsidRPr="00D30136">
        <w:rPr>
          <w:rFonts w:asciiTheme="minorHAnsi" w:hAnsiTheme="minorHAnsi" w:cstheme="minorHAnsi"/>
          <w:i/>
          <w:sz w:val="26"/>
          <w:szCs w:val="26"/>
          <w:lang w:val="ro-RO"/>
        </w:rPr>
        <w:t xml:space="preserve"> </w:t>
      </w:r>
      <w:r w:rsidRPr="00D30136">
        <w:rPr>
          <w:rFonts w:asciiTheme="minorHAnsi" w:hAnsiTheme="minorHAnsi" w:cstheme="minorHAnsi"/>
          <w:sz w:val="26"/>
          <w:szCs w:val="26"/>
          <w:lang w:val="ro-RO"/>
        </w:rPr>
        <w:t xml:space="preserve">a fost somată de către Autoritatea regională independentă de protecţie a datelor din statul membru al Uniunii Europene a cărui naționalitate o are, să dezactiveze pagina sa pentru fani, pe motiv că nici </w:t>
      </w:r>
      <w:r w:rsidRPr="00D30136">
        <w:rPr>
          <w:rFonts w:asciiTheme="minorHAnsi" w:hAnsiTheme="minorHAnsi" w:cstheme="minorHAnsi"/>
          <w:i/>
          <w:sz w:val="26"/>
          <w:szCs w:val="26"/>
          <w:lang w:val="ro-RO"/>
        </w:rPr>
        <w:t xml:space="preserve">Back </w:t>
      </w:r>
      <w:proofErr w:type="spellStart"/>
      <w:r w:rsidRPr="00D30136">
        <w:rPr>
          <w:rFonts w:asciiTheme="minorHAnsi" w:hAnsiTheme="minorHAnsi" w:cstheme="minorHAnsi"/>
          <w:i/>
          <w:sz w:val="26"/>
          <w:szCs w:val="26"/>
          <w:lang w:val="ro-RO"/>
        </w:rPr>
        <w:t>to</w:t>
      </w:r>
      <w:proofErr w:type="spellEnd"/>
      <w:r w:rsidRPr="00D30136">
        <w:rPr>
          <w:rFonts w:asciiTheme="minorHAnsi" w:hAnsiTheme="minorHAnsi" w:cstheme="minorHAnsi"/>
          <w:i/>
          <w:sz w:val="26"/>
          <w:szCs w:val="26"/>
          <w:lang w:val="ro-RO"/>
        </w:rPr>
        <w:t xml:space="preserve"> </w:t>
      </w:r>
      <w:proofErr w:type="spellStart"/>
      <w:r w:rsidRPr="00D30136">
        <w:rPr>
          <w:rFonts w:asciiTheme="minorHAnsi" w:hAnsiTheme="minorHAnsi" w:cstheme="minorHAnsi"/>
          <w:i/>
          <w:sz w:val="26"/>
          <w:szCs w:val="26"/>
          <w:lang w:val="ro-RO"/>
        </w:rPr>
        <w:t>School</w:t>
      </w:r>
      <w:proofErr w:type="spellEnd"/>
      <w:r w:rsidRPr="00D30136">
        <w:rPr>
          <w:rFonts w:asciiTheme="minorHAnsi" w:hAnsiTheme="minorHAnsi" w:cstheme="minorHAnsi"/>
          <w:i/>
          <w:sz w:val="26"/>
          <w:szCs w:val="26"/>
          <w:lang w:val="ro-RO"/>
        </w:rPr>
        <w:t xml:space="preserve">, </w:t>
      </w:r>
      <w:r w:rsidRPr="00D30136">
        <w:rPr>
          <w:rFonts w:asciiTheme="minorHAnsi" w:hAnsiTheme="minorHAnsi" w:cstheme="minorHAnsi"/>
          <w:sz w:val="26"/>
          <w:szCs w:val="26"/>
          <w:lang w:val="ro-RO"/>
        </w:rPr>
        <w:t xml:space="preserve">nici </w:t>
      </w:r>
      <w:proofErr w:type="spellStart"/>
      <w:r w:rsidRPr="00D30136">
        <w:rPr>
          <w:rFonts w:asciiTheme="minorHAnsi" w:hAnsiTheme="minorHAnsi" w:cstheme="minorHAnsi"/>
          <w:sz w:val="26"/>
          <w:szCs w:val="26"/>
          <w:lang w:val="ro-RO"/>
        </w:rPr>
        <w:t>Facebook</w:t>
      </w:r>
      <w:proofErr w:type="spellEnd"/>
      <w:r w:rsidRPr="00D30136">
        <w:rPr>
          <w:rFonts w:asciiTheme="minorHAnsi" w:hAnsiTheme="minorHAnsi" w:cstheme="minorHAnsi"/>
          <w:sz w:val="26"/>
          <w:szCs w:val="26"/>
          <w:lang w:val="ro-RO"/>
        </w:rPr>
        <w:t xml:space="preserve"> nu a informat vizitatorii paginii pentru fani că </w:t>
      </w:r>
      <w:proofErr w:type="spellStart"/>
      <w:r w:rsidRPr="00D30136">
        <w:rPr>
          <w:rFonts w:asciiTheme="minorHAnsi" w:hAnsiTheme="minorHAnsi" w:cstheme="minorHAnsi"/>
          <w:sz w:val="26"/>
          <w:szCs w:val="26"/>
          <w:lang w:val="ro-RO"/>
        </w:rPr>
        <w:t>Facebook</w:t>
      </w:r>
      <w:proofErr w:type="spellEnd"/>
      <w:r w:rsidRPr="00D30136">
        <w:rPr>
          <w:rFonts w:asciiTheme="minorHAnsi" w:hAnsiTheme="minorHAnsi" w:cstheme="minorHAnsi"/>
          <w:sz w:val="26"/>
          <w:szCs w:val="26"/>
          <w:lang w:val="ro-RO"/>
        </w:rPr>
        <w:t xml:space="preserve"> colecta, cu ajutorul unor cookies, informaţii cu caracter personal care îi vizau și că acestea prelucrau apoi respectivele informaţii.</w:t>
      </w:r>
    </w:p>
    <w:p w:rsidR="00D30136" w:rsidRPr="00D30136" w:rsidRDefault="00D30136" w:rsidP="00D30136">
      <w:pPr>
        <w:spacing w:after="0" w:line="240" w:lineRule="auto"/>
        <w:ind w:firstLine="720"/>
        <w:jc w:val="both"/>
        <w:rPr>
          <w:rFonts w:asciiTheme="minorHAnsi" w:hAnsiTheme="minorHAnsi" w:cstheme="minorHAnsi"/>
          <w:sz w:val="26"/>
          <w:szCs w:val="26"/>
          <w:lang w:val="ro-RO"/>
        </w:rPr>
      </w:pPr>
      <w:r w:rsidRPr="00D30136">
        <w:rPr>
          <w:rFonts w:asciiTheme="minorHAnsi" w:hAnsiTheme="minorHAnsi" w:cstheme="minorHAnsi"/>
          <w:i/>
          <w:sz w:val="26"/>
          <w:szCs w:val="26"/>
          <w:lang w:val="ro-RO"/>
        </w:rPr>
        <w:t xml:space="preserve">Back </w:t>
      </w:r>
      <w:proofErr w:type="spellStart"/>
      <w:r w:rsidRPr="00D30136">
        <w:rPr>
          <w:rFonts w:asciiTheme="minorHAnsi" w:hAnsiTheme="minorHAnsi" w:cstheme="minorHAnsi"/>
          <w:i/>
          <w:sz w:val="26"/>
          <w:szCs w:val="26"/>
          <w:lang w:val="ro-RO"/>
        </w:rPr>
        <w:t>to</w:t>
      </w:r>
      <w:proofErr w:type="spellEnd"/>
      <w:r w:rsidRPr="00D30136">
        <w:rPr>
          <w:rFonts w:asciiTheme="minorHAnsi" w:hAnsiTheme="minorHAnsi" w:cstheme="minorHAnsi"/>
          <w:i/>
          <w:sz w:val="26"/>
          <w:szCs w:val="26"/>
          <w:lang w:val="ro-RO"/>
        </w:rPr>
        <w:t xml:space="preserve"> </w:t>
      </w:r>
      <w:proofErr w:type="spellStart"/>
      <w:r w:rsidRPr="00D30136">
        <w:rPr>
          <w:rFonts w:asciiTheme="minorHAnsi" w:hAnsiTheme="minorHAnsi" w:cstheme="minorHAnsi"/>
          <w:i/>
          <w:sz w:val="26"/>
          <w:szCs w:val="26"/>
          <w:lang w:val="ro-RO"/>
        </w:rPr>
        <w:t>School</w:t>
      </w:r>
      <w:proofErr w:type="spellEnd"/>
      <w:r w:rsidRPr="00D30136">
        <w:rPr>
          <w:rFonts w:asciiTheme="minorHAnsi" w:hAnsiTheme="minorHAnsi" w:cstheme="minorHAnsi"/>
          <w:sz w:val="26"/>
          <w:szCs w:val="26"/>
          <w:lang w:val="ro-RO"/>
        </w:rPr>
        <w:t xml:space="preserve"> a introdus o acțiune împotriva acestei decizii la instanța administrativă competentă, susţinând că prelucrarea datelor cu caracter personal efectuată de </w:t>
      </w:r>
      <w:proofErr w:type="spellStart"/>
      <w:r w:rsidRPr="00D30136">
        <w:rPr>
          <w:rFonts w:asciiTheme="minorHAnsi" w:hAnsiTheme="minorHAnsi" w:cstheme="minorHAnsi"/>
          <w:sz w:val="26"/>
          <w:szCs w:val="26"/>
          <w:lang w:val="ro-RO"/>
        </w:rPr>
        <w:t>Facebook</w:t>
      </w:r>
      <w:proofErr w:type="spellEnd"/>
      <w:r w:rsidRPr="00D30136">
        <w:rPr>
          <w:rFonts w:asciiTheme="minorHAnsi" w:hAnsiTheme="minorHAnsi" w:cstheme="minorHAnsi"/>
          <w:sz w:val="26"/>
          <w:szCs w:val="26"/>
          <w:lang w:val="ro-RO"/>
        </w:rPr>
        <w:t xml:space="preserve"> nu poate să îi fie imputată și că nu ea a însărcinat </w:t>
      </w:r>
      <w:proofErr w:type="spellStart"/>
      <w:r w:rsidRPr="00D30136">
        <w:rPr>
          <w:rFonts w:asciiTheme="minorHAnsi" w:hAnsiTheme="minorHAnsi" w:cstheme="minorHAnsi"/>
          <w:sz w:val="26"/>
          <w:szCs w:val="26"/>
          <w:lang w:val="ro-RO"/>
        </w:rPr>
        <w:t>Facebook</w:t>
      </w:r>
      <w:proofErr w:type="spellEnd"/>
      <w:r w:rsidRPr="00D30136">
        <w:rPr>
          <w:rFonts w:asciiTheme="minorHAnsi" w:hAnsiTheme="minorHAnsi" w:cstheme="minorHAnsi"/>
          <w:sz w:val="26"/>
          <w:szCs w:val="26"/>
          <w:lang w:val="ro-RO"/>
        </w:rPr>
        <w:t xml:space="preserve"> să procedeze la prelucrarea unor date pe care le-ar controla sau pe care le-ar putea influența. </w:t>
      </w:r>
      <w:r w:rsidRPr="00D30136">
        <w:rPr>
          <w:rFonts w:asciiTheme="minorHAnsi" w:hAnsiTheme="minorHAnsi" w:cstheme="minorHAnsi"/>
          <w:i/>
          <w:sz w:val="26"/>
          <w:szCs w:val="26"/>
          <w:lang w:val="ro-RO"/>
        </w:rPr>
        <w:t xml:space="preserve">Back </w:t>
      </w:r>
      <w:proofErr w:type="spellStart"/>
      <w:r w:rsidRPr="00D30136">
        <w:rPr>
          <w:rFonts w:asciiTheme="minorHAnsi" w:hAnsiTheme="minorHAnsi" w:cstheme="minorHAnsi"/>
          <w:i/>
          <w:sz w:val="26"/>
          <w:szCs w:val="26"/>
          <w:lang w:val="ro-RO"/>
        </w:rPr>
        <w:t>to</w:t>
      </w:r>
      <w:proofErr w:type="spellEnd"/>
      <w:r w:rsidRPr="00D30136">
        <w:rPr>
          <w:rFonts w:asciiTheme="minorHAnsi" w:hAnsiTheme="minorHAnsi" w:cstheme="minorHAnsi"/>
          <w:i/>
          <w:sz w:val="26"/>
          <w:szCs w:val="26"/>
          <w:lang w:val="ro-RO"/>
        </w:rPr>
        <w:t xml:space="preserve"> </w:t>
      </w:r>
      <w:proofErr w:type="spellStart"/>
      <w:r w:rsidRPr="00D30136">
        <w:rPr>
          <w:rFonts w:asciiTheme="minorHAnsi" w:hAnsiTheme="minorHAnsi" w:cstheme="minorHAnsi"/>
          <w:i/>
          <w:sz w:val="26"/>
          <w:szCs w:val="26"/>
          <w:lang w:val="ro-RO"/>
        </w:rPr>
        <w:t>School</w:t>
      </w:r>
      <w:proofErr w:type="spellEnd"/>
      <w:r w:rsidRPr="00D30136">
        <w:rPr>
          <w:rFonts w:asciiTheme="minorHAnsi" w:hAnsiTheme="minorHAnsi" w:cstheme="minorHAnsi"/>
          <w:sz w:val="26"/>
          <w:szCs w:val="26"/>
          <w:lang w:val="ro-RO"/>
        </w:rPr>
        <w:t xml:space="preserve"> deducea din aceasta că Autoritatea ar fi trebuit să se îndrepte direct împotriva </w:t>
      </w:r>
      <w:proofErr w:type="spellStart"/>
      <w:r w:rsidRPr="00D30136">
        <w:rPr>
          <w:rFonts w:asciiTheme="minorHAnsi" w:hAnsiTheme="minorHAnsi" w:cstheme="minorHAnsi"/>
          <w:sz w:val="26"/>
          <w:szCs w:val="26"/>
          <w:lang w:val="ro-RO"/>
        </w:rPr>
        <w:t>Facebook</w:t>
      </w:r>
      <w:proofErr w:type="spellEnd"/>
      <w:r w:rsidRPr="00D30136">
        <w:rPr>
          <w:rFonts w:asciiTheme="minorHAnsi" w:hAnsiTheme="minorHAnsi" w:cstheme="minorHAnsi"/>
          <w:sz w:val="26"/>
          <w:szCs w:val="26"/>
          <w:lang w:val="ro-RO"/>
        </w:rPr>
        <w:t xml:space="preserve"> și nu împotriva sa.</w:t>
      </w:r>
    </w:p>
    <w:p w:rsidR="00D30136" w:rsidRPr="00D30136" w:rsidRDefault="00D30136" w:rsidP="00D30136">
      <w:pPr>
        <w:spacing w:after="0" w:line="240" w:lineRule="auto"/>
        <w:ind w:firstLine="720"/>
        <w:jc w:val="both"/>
        <w:rPr>
          <w:rFonts w:asciiTheme="minorHAnsi" w:hAnsiTheme="minorHAnsi" w:cstheme="minorHAnsi"/>
          <w:sz w:val="26"/>
          <w:szCs w:val="26"/>
          <w:lang w:val="ro-RO"/>
        </w:rPr>
      </w:pPr>
      <w:r w:rsidRPr="00D30136">
        <w:rPr>
          <w:rFonts w:asciiTheme="minorHAnsi" w:hAnsiTheme="minorHAnsi" w:cstheme="minorHAnsi"/>
          <w:sz w:val="26"/>
          <w:szCs w:val="26"/>
          <w:lang w:val="ro-RO"/>
        </w:rPr>
        <w:t>Având în vedere aplicarea Regulamentului (UE) 2016/679 referitor la protecția persoanelor fizice în ceea ce privește prelucrarea datelor cu caracter personal și libera circulație a acestor date, în special art.1, 2, 17, 24 și 28, precum și jurisprudența recentă a CJUE întemeiată pe Directiva 95/46/CE, prezentați un raționament juridic referitor la următoarele aspecte:</w:t>
      </w:r>
    </w:p>
    <w:p w:rsidR="00D30136" w:rsidRPr="00D30136" w:rsidRDefault="00D30136" w:rsidP="00D30136">
      <w:pPr>
        <w:spacing w:after="0" w:line="240" w:lineRule="auto"/>
        <w:ind w:firstLine="720"/>
        <w:jc w:val="both"/>
        <w:rPr>
          <w:rFonts w:asciiTheme="minorHAnsi" w:hAnsiTheme="minorHAnsi" w:cstheme="minorHAnsi"/>
          <w:b/>
          <w:i/>
          <w:sz w:val="26"/>
          <w:szCs w:val="26"/>
          <w:u w:val="single"/>
          <w:lang w:val="ro-RO"/>
        </w:rPr>
      </w:pPr>
      <w:r w:rsidRPr="00D30136">
        <w:rPr>
          <w:rFonts w:asciiTheme="minorHAnsi" w:hAnsiTheme="minorHAnsi" w:cstheme="minorHAnsi"/>
          <w:b/>
          <w:i/>
          <w:sz w:val="26"/>
          <w:szCs w:val="26"/>
          <w:u w:val="single"/>
          <w:lang w:val="ro-RO"/>
        </w:rPr>
        <w:t>Lucrarea profesională nr. 1:</w:t>
      </w:r>
    </w:p>
    <w:p w:rsidR="00D30136" w:rsidRPr="00D30136" w:rsidRDefault="00D30136" w:rsidP="00D30136">
      <w:pPr>
        <w:spacing w:after="0" w:line="240" w:lineRule="auto"/>
        <w:ind w:firstLine="720"/>
        <w:jc w:val="both"/>
        <w:rPr>
          <w:rFonts w:asciiTheme="minorHAnsi" w:hAnsiTheme="minorHAnsi" w:cstheme="minorHAnsi"/>
          <w:bCs/>
          <w:i/>
          <w:sz w:val="26"/>
          <w:szCs w:val="26"/>
          <w:lang w:val="ro-RO"/>
        </w:rPr>
      </w:pPr>
      <w:r w:rsidRPr="00D30136">
        <w:rPr>
          <w:rFonts w:asciiTheme="minorHAnsi" w:hAnsiTheme="minorHAnsi" w:cstheme="minorHAnsi"/>
          <w:i/>
          <w:sz w:val="26"/>
          <w:szCs w:val="26"/>
          <w:lang w:val="ro-RO"/>
        </w:rPr>
        <w:t xml:space="preserve">Societatea Back </w:t>
      </w:r>
      <w:proofErr w:type="spellStart"/>
      <w:r w:rsidRPr="00D30136">
        <w:rPr>
          <w:rFonts w:asciiTheme="minorHAnsi" w:hAnsiTheme="minorHAnsi" w:cstheme="minorHAnsi"/>
          <w:i/>
          <w:sz w:val="26"/>
          <w:szCs w:val="26"/>
          <w:lang w:val="ro-RO"/>
        </w:rPr>
        <w:t>to</w:t>
      </w:r>
      <w:proofErr w:type="spellEnd"/>
      <w:r w:rsidRPr="00D30136">
        <w:rPr>
          <w:rFonts w:asciiTheme="minorHAnsi" w:hAnsiTheme="minorHAnsi" w:cstheme="minorHAnsi"/>
          <w:i/>
          <w:sz w:val="26"/>
          <w:szCs w:val="26"/>
          <w:lang w:val="ro-RO"/>
        </w:rPr>
        <w:t xml:space="preserve"> </w:t>
      </w:r>
      <w:proofErr w:type="spellStart"/>
      <w:r w:rsidRPr="00D30136">
        <w:rPr>
          <w:rFonts w:asciiTheme="minorHAnsi" w:hAnsiTheme="minorHAnsi" w:cstheme="minorHAnsi"/>
          <w:i/>
          <w:sz w:val="26"/>
          <w:szCs w:val="26"/>
          <w:lang w:val="ro-RO"/>
        </w:rPr>
        <w:t>School</w:t>
      </w:r>
      <w:proofErr w:type="spellEnd"/>
      <w:r w:rsidRPr="00D30136">
        <w:rPr>
          <w:rFonts w:asciiTheme="minorHAnsi" w:hAnsiTheme="minorHAnsi" w:cstheme="minorHAnsi"/>
          <w:i/>
          <w:sz w:val="26"/>
          <w:szCs w:val="26"/>
          <w:lang w:val="ro-RO"/>
        </w:rPr>
        <w:t xml:space="preserve"> poate fi trasă la răspundere, în calitatea sa de administrator al unei pagini pentru fani găzduite pe o rețea socială, în cazul unei atingeri aduse normelor privitoare la protecția datelor cu caracter personal, ca urmare a alegerii de a recurge la această rețea socială pentru a difuza oferta sa de informații?</w:t>
      </w:r>
      <w:r w:rsidRPr="00D30136">
        <w:rPr>
          <w:rFonts w:asciiTheme="minorHAnsi" w:hAnsiTheme="minorHAnsi" w:cstheme="minorHAnsi"/>
          <w:sz w:val="26"/>
          <w:szCs w:val="26"/>
          <w:lang w:val="ro-RO"/>
        </w:rPr>
        <w:t xml:space="preserve"> </w:t>
      </w:r>
      <w:r w:rsidRPr="00D30136">
        <w:rPr>
          <w:rFonts w:asciiTheme="minorHAnsi" w:hAnsiTheme="minorHAnsi" w:cstheme="minorHAnsi"/>
          <w:bCs/>
          <w:i/>
          <w:sz w:val="26"/>
          <w:szCs w:val="26"/>
          <w:lang w:val="ro-RO"/>
        </w:rPr>
        <w:t>Prezentaţi un raţionament argumentat, pe baza jurisprudenţei Curţii de Justiţie a Uniunii Europene, a legislației UE și a doctrinei de specialitate.</w:t>
      </w:r>
    </w:p>
    <w:p w:rsidR="00D30136" w:rsidRPr="00D30136" w:rsidRDefault="00D30136" w:rsidP="00D30136">
      <w:pPr>
        <w:spacing w:after="0" w:line="240" w:lineRule="auto"/>
        <w:ind w:firstLine="720"/>
        <w:jc w:val="both"/>
        <w:rPr>
          <w:rFonts w:asciiTheme="minorHAnsi" w:hAnsiTheme="minorHAnsi" w:cstheme="minorHAnsi"/>
          <w:b/>
          <w:i/>
          <w:sz w:val="26"/>
          <w:szCs w:val="26"/>
          <w:u w:val="single"/>
          <w:lang w:val="ro-RO"/>
        </w:rPr>
      </w:pPr>
      <w:r w:rsidRPr="00D30136">
        <w:rPr>
          <w:rFonts w:asciiTheme="minorHAnsi" w:hAnsiTheme="minorHAnsi" w:cstheme="minorHAnsi"/>
          <w:b/>
          <w:i/>
          <w:sz w:val="26"/>
          <w:szCs w:val="26"/>
          <w:u w:val="single"/>
          <w:lang w:val="ro-RO"/>
        </w:rPr>
        <w:lastRenderedPageBreak/>
        <w:t xml:space="preserve">Lucrarea profesională nr. </w:t>
      </w:r>
      <w:r w:rsidRPr="00D30136">
        <w:rPr>
          <w:rFonts w:asciiTheme="minorHAnsi" w:hAnsiTheme="minorHAnsi" w:cstheme="minorHAnsi"/>
          <w:b/>
          <w:i/>
          <w:sz w:val="26"/>
          <w:szCs w:val="26"/>
          <w:u w:val="single"/>
          <w:lang w:val="ro-RO"/>
        </w:rPr>
        <w:t>2</w:t>
      </w:r>
      <w:r w:rsidRPr="00D30136">
        <w:rPr>
          <w:rFonts w:asciiTheme="minorHAnsi" w:hAnsiTheme="minorHAnsi" w:cstheme="minorHAnsi"/>
          <w:b/>
          <w:i/>
          <w:sz w:val="26"/>
          <w:szCs w:val="26"/>
          <w:u w:val="single"/>
          <w:lang w:val="ro-RO"/>
        </w:rPr>
        <w:t>:</w:t>
      </w:r>
    </w:p>
    <w:p w:rsidR="00D30136" w:rsidRPr="00D30136" w:rsidRDefault="00D30136" w:rsidP="00D30136">
      <w:pPr>
        <w:spacing w:after="0" w:line="240" w:lineRule="auto"/>
        <w:ind w:firstLine="720"/>
        <w:jc w:val="both"/>
        <w:rPr>
          <w:rFonts w:asciiTheme="minorHAnsi" w:hAnsiTheme="minorHAnsi" w:cstheme="minorHAnsi"/>
          <w:bCs/>
          <w:i/>
          <w:sz w:val="26"/>
          <w:szCs w:val="26"/>
          <w:lang w:val="ro-RO"/>
        </w:rPr>
      </w:pPr>
      <w:r w:rsidRPr="00D30136">
        <w:rPr>
          <w:rFonts w:asciiTheme="minorHAnsi" w:hAnsiTheme="minorHAnsi" w:cstheme="minorHAnsi"/>
          <w:bCs/>
          <w:i/>
          <w:sz w:val="26"/>
          <w:szCs w:val="26"/>
          <w:lang w:val="ro-RO"/>
        </w:rPr>
        <w:t xml:space="preserve"> Există posibilitatea formulării unei acțiuni în  interpretare în fața instanței de la Luxemburg? Argumentați răspunsul.</w:t>
      </w:r>
    </w:p>
    <w:p w:rsidR="00D30136" w:rsidRPr="00D30136" w:rsidRDefault="00D30136" w:rsidP="00D30136">
      <w:pPr>
        <w:spacing w:after="0" w:line="240" w:lineRule="auto"/>
        <w:ind w:firstLine="720"/>
        <w:jc w:val="both"/>
        <w:rPr>
          <w:rFonts w:asciiTheme="minorHAnsi" w:hAnsiTheme="minorHAnsi" w:cstheme="minorHAnsi"/>
          <w:bCs/>
          <w:sz w:val="26"/>
          <w:szCs w:val="26"/>
          <w:lang w:val="ro-RO"/>
        </w:rPr>
      </w:pPr>
    </w:p>
    <w:p w:rsidR="00D30136" w:rsidRPr="00D30136" w:rsidRDefault="00D30136" w:rsidP="00D30136">
      <w:pPr>
        <w:spacing w:after="0" w:line="240" w:lineRule="auto"/>
        <w:ind w:firstLine="720"/>
        <w:jc w:val="both"/>
        <w:rPr>
          <w:rFonts w:asciiTheme="minorHAnsi" w:hAnsiTheme="minorHAnsi" w:cstheme="minorHAnsi"/>
          <w:bCs/>
          <w:sz w:val="26"/>
          <w:szCs w:val="26"/>
          <w:lang w:val="ro-RO"/>
        </w:rPr>
      </w:pPr>
      <w:r w:rsidRPr="00D30136">
        <w:rPr>
          <w:rFonts w:asciiTheme="minorHAnsi" w:hAnsiTheme="minorHAnsi" w:cstheme="minorHAnsi"/>
          <w:b/>
          <w:bCs/>
          <w:sz w:val="26"/>
          <w:szCs w:val="26"/>
          <w:lang w:val="ro-RO"/>
        </w:rPr>
        <w:t>Precizări</w:t>
      </w:r>
      <w:r w:rsidRPr="00D30136">
        <w:rPr>
          <w:rFonts w:asciiTheme="minorHAnsi" w:hAnsiTheme="minorHAnsi" w:cstheme="minorHAnsi"/>
          <w:bCs/>
          <w:sz w:val="26"/>
          <w:szCs w:val="26"/>
          <w:lang w:val="ro-RO"/>
        </w:rPr>
        <w:t>:</w:t>
      </w:r>
    </w:p>
    <w:p w:rsidR="00D30136" w:rsidRPr="00D30136" w:rsidRDefault="00D30136" w:rsidP="00D30136">
      <w:pPr>
        <w:spacing w:after="0" w:line="240" w:lineRule="auto"/>
        <w:ind w:firstLine="720"/>
        <w:jc w:val="both"/>
        <w:rPr>
          <w:rFonts w:asciiTheme="minorHAnsi" w:hAnsiTheme="minorHAnsi" w:cstheme="minorHAnsi"/>
          <w:bCs/>
          <w:sz w:val="26"/>
          <w:szCs w:val="26"/>
          <w:lang w:val="ro-RO"/>
        </w:rPr>
      </w:pPr>
      <w:r w:rsidRPr="00D30136">
        <w:rPr>
          <w:rFonts w:asciiTheme="minorHAnsi" w:hAnsiTheme="minorHAnsi" w:cstheme="minorHAnsi"/>
          <w:bCs/>
          <w:sz w:val="26"/>
          <w:szCs w:val="26"/>
          <w:lang w:val="ro-RO"/>
        </w:rPr>
        <w:t>La aprecierea răspunsului vor fi avute în vedere următoarele:</w:t>
      </w:r>
    </w:p>
    <w:p w:rsidR="00D30136" w:rsidRPr="00D30136" w:rsidRDefault="00D30136" w:rsidP="00D30136">
      <w:pPr>
        <w:spacing w:after="0" w:line="240" w:lineRule="auto"/>
        <w:ind w:firstLine="720"/>
        <w:jc w:val="both"/>
        <w:rPr>
          <w:rFonts w:asciiTheme="minorHAnsi" w:hAnsiTheme="minorHAnsi" w:cstheme="minorHAnsi"/>
          <w:bCs/>
          <w:sz w:val="26"/>
          <w:szCs w:val="26"/>
          <w:lang w:val="ro-RO"/>
        </w:rPr>
      </w:pPr>
      <w:r w:rsidRPr="00D30136">
        <w:rPr>
          <w:rFonts w:asciiTheme="minorHAnsi" w:hAnsiTheme="minorHAnsi" w:cstheme="minorHAnsi"/>
          <w:bCs/>
          <w:sz w:val="26"/>
          <w:szCs w:val="26"/>
          <w:lang w:val="ro-RO"/>
        </w:rPr>
        <w:t>- sistematizarea motivării juridice;</w:t>
      </w:r>
    </w:p>
    <w:p w:rsidR="00D30136" w:rsidRPr="00D30136" w:rsidRDefault="00D30136" w:rsidP="00D30136">
      <w:pPr>
        <w:spacing w:after="0" w:line="240" w:lineRule="auto"/>
        <w:ind w:firstLine="720"/>
        <w:jc w:val="both"/>
        <w:rPr>
          <w:rFonts w:asciiTheme="minorHAnsi" w:hAnsiTheme="minorHAnsi" w:cstheme="minorHAnsi"/>
          <w:bCs/>
          <w:sz w:val="26"/>
          <w:szCs w:val="26"/>
          <w:lang w:val="ro-RO"/>
        </w:rPr>
      </w:pPr>
      <w:r w:rsidRPr="00D30136">
        <w:rPr>
          <w:rFonts w:asciiTheme="minorHAnsi" w:hAnsiTheme="minorHAnsi" w:cstheme="minorHAnsi"/>
          <w:bCs/>
          <w:sz w:val="26"/>
          <w:szCs w:val="26"/>
          <w:lang w:val="ro-RO"/>
        </w:rPr>
        <w:t>- temeiul juridic;</w:t>
      </w:r>
    </w:p>
    <w:p w:rsidR="00D30136" w:rsidRPr="00D30136" w:rsidRDefault="00D30136" w:rsidP="00D30136">
      <w:pPr>
        <w:spacing w:after="0" w:line="240" w:lineRule="auto"/>
        <w:ind w:firstLine="720"/>
        <w:jc w:val="both"/>
        <w:rPr>
          <w:rFonts w:asciiTheme="minorHAnsi" w:hAnsiTheme="minorHAnsi" w:cstheme="minorHAnsi"/>
          <w:bCs/>
          <w:sz w:val="26"/>
          <w:szCs w:val="26"/>
          <w:lang w:val="ro-RO"/>
        </w:rPr>
      </w:pPr>
      <w:r w:rsidRPr="00D30136">
        <w:rPr>
          <w:rFonts w:asciiTheme="minorHAnsi" w:hAnsiTheme="minorHAnsi" w:cstheme="minorHAnsi"/>
          <w:bCs/>
          <w:sz w:val="26"/>
          <w:szCs w:val="26"/>
          <w:lang w:val="ro-RO"/>
        </w:rPr>
        <w:t>- identificarea jurisprudenţei relevante pentru domeniu;</w:t>
      </w:r>
    </w:p>
    <w:p w:rsidR="00D30136" w:rsidRPr="00D30136" w:rsidRDefault="00D30136" w:rsidP="00D30136">
      <w:pPr>
        <w:spacing w:after="0" w:line="240" w:lineRule="auto"/>
        <w:ind w:firstLine="720"/>
        <w:jc w:val="both"/>
        <w:rPr>
          <w:rFonts w:asciiTheme="minorHAnsi" w:hAnsiTheme="minorHAnsi" w:cstheme="minorHAnsi"/>
          <w:bCs/>
          <w:sz w:val="26"/>
          <w:szCs w:val="26"/>
          <w:lang w:val="ro-RO"/>
        </w:rPr>
      </w:pPr>
      <w:r w:rsidRPr="00D30136">
        <w:rPr>
          <w:rFonts w:asciiTheme="minorHAnsi" w:hAnsiTheme="minorHAnsi" w:cstheme="minorHAnsi"/>
          <w:bCs/>
          <w:sz w:val="26"/>
          <w:szCs w:val="26"/>
          <w:lang w:val="ro-RO"/>
        </w:rPr>
        <w:t>- identificarea şi folosirea corectă a principiilor jurisprudenţei Curţii de Justiţie a Uniunii Europene;</w:t>
      </w:r>
    </w:p>
    <w:p w:rsidR="00D30136" w:rsidRPr="00D30136" w:rsidRDefault="00D30136" w:rsidP="00D30136">
      <w:pPr>
        <w:spacing w:after="0" w:line="240" w:lineRule="auto"/>
        <w:ind w:firstLine="720"/>
        <w:jc w:val="both"/>
        <w:rPr>
          <w:rFonts w:asciiTheme="minorHAnsi" w:hAnsiTheme="minorHAnsi" w:cstheme="minorHAnsi"/>
          <w:bCs/>
          <w:sz w:val="26"/>
          <w:szCs w:val="26"/>
          <w:lang w:val="ro-RO"/>
        </w:rPr>
      </w:pPr>
      <w:r w:rsidRPr="00D30136">
        <w:rPr>
          <w:rFonts w:asciiTheme="minorHAnsi" w:hAnsiTheme="minorHAnsi" w:cstheme="minorHAnsi"/>
          <w:bCs/>
          <w:sz w:val="26"/>
          <w:szCs w:val="26"/>
          <w:lang w:val="ro-RO"/>
        </w:rPr>
        <w:t>- limbajul juridic;</w:t>
      </w:r>
    </w:p>
    <w:p w:rsidR="00D30136" w:rsidRPr="00D30136" w:rsidRDefault="00D30136" w:rsidP="00D30136">
      <w:pPr>
        <w:spacing w:after="0" w:line="240" w:lineRule="auto"/>
        <w:ind w:firstLine="720"/>
        <w:jc w:val="both"/>
        <w:rPr>
          <w:rFonts w:asciiTheme="minorHAnsi" w:hAnsiTheme="minorHAnsi" w:cstheme="minorHAnsi"/>
          <w:bCs/>
          <w:sz w:val="26"/>
          <w:szCs w:val="26"/>
          <w:lang w:val="ro-RO"/>
        </w:rPr>
      </w:pPr>
      <w:r w:rsidRPr="00D30136">
        <w:rPr>
          <w:rFonts w:asciiTheme="minorHAnsi" w:hAnsiTheme="minorHAnsi" w:cstheme="minorHAnsi"/>
          <w:bCs/>
          <w:sz w:val="26"/>
          <w:szCs w:val="26"/>
          <w:lang w:val="ro-RO"/>
        </w:rPr>
        <w:t>- logica şi pertinenţa argumentării;</w:t>
      </w:r>
    </w:p>
    <w:p w:rsidR="00D30136" w:rsidRPr="00D30136" w:rsidRDefault="00D30136" w:rsidP="00D30136">
      <w:pPr>
        <w:spacing w:after="0" w:line="240" w:lineRule="auto"/>
        <w:ind w:firstLine="720"/>
        <w:jc w:val="both"/>
        <w:rPr>
          <w:rFonts w:asciiTheme="minorHAnsi" w:hAnsiTheme="minorHAnsi" w:cstheme="minorHAnsi"/>
          <w:bCs/>
          <w:sz w:val="26"/>
          <w:szCs w:val="26"/>
          <w:lang w:val="ro-RO"/>
        </w:rPr>
      </w:pPr>
      <w:r w:rsidRPr="00D30136">
        <w:rPr>
          <w:rFonts w:asciiTheme="minorHAnsi" w:hAnsiTheme="minorHAnsi" w:cstheme="minorHAnsi"/>
          <w:bCs/>
          <w:sz w:val="26"/>
          <w:szCs w:val="26"/>
          <w:lang w:val="ro-RO"/>
        </w:rPr>
        <w:t xml:space="preserve">- nota de personalitate (în acest sens, răspunsul poate fi nuanțat, în funcție de interpretarea dată situației de fapt) și </w:t>
      </w:r>
    </w:p>
    <w:p w:rsidR="00D30136" w:rsidRPr="00D30136" w:rsidRDefault="00D30136" w:rsidP="00D30136">
      <w:pPr>
        <w:pStyle w:val="c02alineaalta"/>
        <w:shd w:val="clear" w:color="auto" w:fill="FFFFFF"/>
        <w:spacing w:before="0" w:beforeAutospacing="0" w:after="0" w:afterAutospacing="0"/>
        <w:ind w:firstLine="720"/>
        <w:jc w:val="both"/>
        <w:rPr>
          <w:rFonts w:asciiTheme="minorHAnsi" w:hAnsiTheme="minorHAnsi" w:cstheme="minorHAnsi"/>
          <w:sz w:val="26"/>
          <w:szCs w:val="26"/>
        </w:rPr>
      </w:pPr>
      <w:r w:rsidRPr="00D30136">
        <w:rPr>
          <w:rFonts w:asciiTheme="minorHAnsi" w:hAnsiTheme="minorHAnsi" w:cstheme="minorHAnsi"/>
          <w:bCs/>
          <w:sz w:val="26"/>
          <w:szCs w:val="26"/>
        </w:rPr>
        <w:t>- indicarea corectă a legislaţiei, a jurisprudenţei și a doctrinei folosite.</w:t>
      </w:r>
    </w:p>
    <w:p w:rsidR="00D30136" w:rsidRPr="00D30136" w:rsidRDefault="00D30136" w:rsidP="00D30136">
      <w:pPr>
        <w:pStyle w:val="c02alineaalta"/>
        <w:shd w:val="clear" w:color="auto" w:fill="FFFFFF"/>
        <w:spacing w:before="0" w:beforeAutospacing="0" w:after="0" w:afterAutospacing="0"/>
        <w:ind w:firstLine="720"/>
        <w:jc w:val="both"/>
        <w:rPr>
          <w:rFonts w:asciiTheme="minorHAnsi" w:hAnsiTheme="minorHAnsi" w:cstheme="minorHAnsi"/>
          <w:sz w:val="26"/>
          <w:szCs w:val="26"/>
        </w:rPr>
      </w:pPr>
    </w:p>
    <w:p w:rsidR="00016607" w:rsidRPr="00D30136" w:rsidRDefault="00016607" w:rsidP="00D30136">
      <w:pPr>
        <w:pStyle w:val="ListParagraph"/>
        <w:spacing w:after="0" w:line="240" w:lineRule="auto"/>
        <w:ind w:left="0" w:firstLine="720"/>
        <w:jc w:val="both"/>
        <w:rPr>
          <w:rFonts w:asciiTheme="minorHAnsi" w:hAnsiTheme="minorHAnsi" w:cstheme="minorHAnsi"/>
          <w:sz w:val="26"/>
          <w:szCs w:val="26"/>
          <w:lang w:val="ro-RO"/>
        </w:rPr>
      </w:pPr>
    </w:p>
    <w:p w:rsidR="00D30136" w:rsidRPr="00D30136" w:rsidRDefault="00D30136" w:rsidP="00D30136">
      <w:pPr>
        <w:pStyle w:val="ListParagraph"/>
        <w:spacing w:after="0" w:line="240" w:lineRule="auto"/>
        <w:ind w:left="0" w:firstLine="720"/>
        <w:jc w:val="both"/>
        <w:rPr>
          <w:rFonts w:asciiTheme="minorHAnsi" w:hAnsiTheme="minorHAnsi" w:cstheme="minorHAnsi"/>
          <w:sz w:val="26"/>
          <w:szCs w:val="26"/>
          <w:lang w:val="ro-RO"/>
        </w:rPr>
      </w:pPr>
    </w:p>
    <w:p w:rsidR="00D30136" w:rsidRPr="00D30136" w:rsidRDefault="00D30136" w:rsidP="00D30136">
      <w:pPr>
        <w:spacing w:after="0"/>
        <w:jc w:val="both"/>
        <w:rPr>
          <w:rFonts w:asciiTheme="minorHAnsi" w:hAnsiTheme="minorHAnsi" w:cstheme="minorHAnsi"/>
          <w:b/>
          <w:i/>
          <w:sz w:val="26"/>
          <w:szCs w:val="26"/>
          <w:u w:val="single"/>
          <w:lang w:val="ro-RO"/>
        </w:rPr>
      </w:pPr>
      <w:r w:rsidRPr="00D30136">
        <w:rPr>
          <w:rFonts w:asciiTheme="minorHAnsi" w:hAnsiTheme="minorHAnsi" w:cstheme="minorHAnsi"/>
          <w:b/>
          <w:i/>
          <w:sz w:val="26"/>
          <w:szCs w:val="26"/>
          <w:u w:val="single"/>
          <w:lang w:val="ro-RO"/>
        </w:rPr>
        <w:t>Speţa 2</w:t>
      </w:r>
    </w:p>
    <w:p w:rsidR="00D30136" w:rsidRPr="00D30136" w:rsidRDefault="00D30136" w:rsidP="00D30136">
      <w:pPr>
        <w:pStyle w:val="ListParagraph"/>
        <w:spacing w:after="0" w:line="240" w:lineRule="auto"/>
        <w:ind w:left="0" w:firstLine="720"/>
        <w:jc w:val="both"/>
        <w:rPr>
          <w:rFonts w:asciiTheme="minorHAnsi" w:hAnsiTheme="minorHAnsi" w:cstheme="minorHAnsi"/>
          <w:sz w:val="26"/>
          <w:szCs w:val="26"/>
          <w:lang w:val="ro-RO"/>
        </w:rPr>
      </w:pPr>
    </w:p>
    <w:p w:rsidR="00D30136" w:rsidRPr="00D30136" w:rsidRDefault="00D30136" w:rsidP="00D30136">
      <w:pPr>
        <w:pStyle w:val="c01pointnumerotealtn"/>
        <w:shd w:val="clear" w:color="auto" w:fill="FFFFFF"/>
        <w:spacing w:before="0" w:beforeAutospacing="0" w:after="0"/>
        <w:ind w:left="0" w:firstLine="720"/>
        <w:rPr>
          <w:rFonts w:asciiTheme="minorHAnsi" w:hAnsiTheme="minorHAnsi" w:cstheme="minorHAnsi"/>
          <w:sz w:val="26"/>
          <w:szCs w:val="26"/>
        </w:rPr>
      </w:pPr>
      <w:r w:rsidRPr="00D30136">
        <w:rPr>
          <w:rFonts w:asciiTheme="minorHAnsi" w:hAnsiTheme="minorHAnsi" w:cstheme="minorHAnsi"/>
          <w:sz w:val="26"/>
          <w:szCs w:val="26"/>
        </w:rPr>
        <w:t xml:space="preserve">Domnul K, cetățean croat și al statului Bosnia-Herțegovina, se deplasează în Olanda împreună cu soția și fiul minor, în ianuarie 2001. În anul 2006, soția domnului K a dat naștere celui de al doilea fiu al lor. </w:t>
      </w:r>
    </w:p>
    <w:p w:rsidR="00D30136" w:rsidRPr="00D30136" w:rsidRDefault="00D30136" w:rsidP="00D30136">
      <w:pPr>
        <w:pStyle w:val="c01pointnumerotealtn"/>
        <w:shd w:val="clear" w:color="auto" w:fill="FFFFFF"/>
        <w:spacing w:before="0" w:beforeAutospacing="0" w:after="0"/>
        <w:ind w:left="0" w:firstLine="720"/>
        <w:rPr>
          <w:rFonts w:asciiTheme="minorHAnsi" w:hAnsiTheme="minorHAnsi" w:cstheme="minorHAnsi"/>
          <w:sz w:val="26"/>
          <w:szCs w:val="26"/>
        </w:rPr>
      </w:pPr>
      <w:r w:rsidRPr="00D30136">
        <w:rPr>
          <w:rFonts w:asciiTheme="minorHAnsi" w:hAnsiTheme="minorHAnsi" w:cstheme="minorHAnsi"/>
          <w:sz w:val="26"/>
          <w:szCs w:val="26"/>
        </w:rPr>
        <w:t>În februarie 2001, dl. K a solicitat autorității competente din Olanda eliberarea unui permis de ședere temporară în calitate de solicitant de azil, cerere care i-a fost respinsă în mai 2003.</w:t>
      </w:r>
    </w:p>
    <w:p w:rsidR="00D30136" w:rsidRPr="00D30136" w:rsidRDefault="00D30136" w:rsidP="00D30136">
      <w:pPr>
        <w:pStyle w:val="c01pointnumerotealtn"/>
        <w:shd w:val="clear" w:color="auto" w:fill="FFFFFF"/>
        <w:spacing w:before="0" w:beforeAutospacing="0" w:after="0"/>
        <w:ind w:left="0" w:firstLine="720"/>
        <w:rPr>
          <w:rFonts w:asciiTheme="minorHAnsi" w:hAnsiTheme="minorHAnsi" w:cstheme="minorHAnsi"/>
          <w:sz w:val="26"/>
          <w:szCs w:val="26"/>
        </w:rPr>
      </w:pPr>
      <w:r w:rsidRPr="00D30136">
        <w:rPr>
          <w:rFonts w:asciiTheme="minorHAnsi" w:hAnsiTheme="minorHAnsi" w:cstheme="minorHAnsi"/>
          <w:sz w:val="26"/>
          <w:szCs w:val="26"/>
        </w:rPr>
        <w:t>În iulie 2011, dl. K a introdus o nouă cerere de azil care, din nou, a fost respinsă în ianuarie 2013. Această decizie era, însă, însoțită de o interdicție de intrare pe teritoriul Olandei pentru o durată de zece ani.</w:t>
      </w:r>
    </w:p>
    <w:p w:rsidR="00D30136" w:rsidRPr="00D30136" w:rsidRDefault="00D30136" w:rsidP="00D30136">
      <w:pPr>
        <w:pStyle w:val="c01pointnumerotealtn"/>
        <w:shd w:val="clear" w:color="auto" w:fill="FFFFFF"/>
        <w:spacing w:before="0" w:beforeAutospacing="0" w:after="0"/>
        <w:ind w:left="0" w:firstLine="720"/>
        <w:rPr>
          <w:rFonts w:asciiTheme="minorHAnsi" w:hAnsiTheme="minorHAnsi" w:cstheme="minorHAnsi"/>
          <w:sz w:val="26"/>
          <w:szCs w:val="26"/>
        </w:rPr>
      </w:pPr>
      <w:r w:rsidRPr="00D30136">
        <w:rPr>
          <w:rFonts w:asciiTheme="minorHAnsi" w:hAnsiTheme="minorHAnsi" w:cstheme="minorHAnsi"/>
          <w:sz w:val="26"/>
          <w:szCs w:val="26"/>
        </w:rPr>
        <w:t>După aderarea Republicii Croația la Uniunea Europeană, dl. K a solicitat instanței competente, în octombrie 2014, ridicarea interdicției de intrare pe teritoriul Olandei emise în privința sa. În iulie 2015, cererea a fost admisă, dar autoritatea competentă l-a declarat pe dl. K indezirabil pe teritoriul Olandei, în temeiul prevederilor din Legea olandeză privind regimul străinilor. Reclamația formulată de dl. K împotriva acestei decizii a fost respinsă în decembrie 2015.</w:t>
      </w:r>
    </w:p>
    <w:p w:rsidR="00D30136" w:rsidRPr="00D30136" w:rsidRDefault="00D30136" w:rsidP="00D30136">
      <w:pPr>
        <w:pStyle w:val="c01pointnumerotealtn"/>
        <w:shd w:val="clear" w:color="auto" w:fill="FFFFFF"/>
        <w:spacing w:before="0" w:beforeAutospacing="0" w:after="0"/>
        <w:ind w:left="0" w:firstLine="720"/>
        <w:rPr>
          <w:rFonts w:asciiTheme="minorHAnsi" w:hAnsiTheme="minorHAnsi" w:cstheme="minorHAnsi"/>
          <w:sz w:val="26"/>
          <w:szCs w:val="26"/>
        </w:rPr>
      </w:pPr>
      <w:r w:rsidRPr="00D30136">
        <w:rPr>
          <w:rFonts w:asciiTheme="minorHAnsi" w:hAnsiTheme="minorHAnsi" w:cstheme="minorHAnsi"/>
          <w:sz w:val="26"/>
          <w:szCs w:val="26"/>
        </w:rPr>
        <w:t>Motivele de respingere au fost:</w:t>
      </w:r>
    </w:p>
    <w:p w:rsidR="00D30136" w:rsidRPr="00D30136" w:rsidRDefault="00D30136" w:rsidP="00D30136">
      <w:pPr>
        <w:pStyle w:val="c01pointnumerotealtn"/>
        <w:shd w:val="clear" w:color="auto" w:fill="FFFFFF"/>
        <w:spacing w:before="0" w:beforeAutospacing="0" w:after="0"/>
        <w:ind w:left="0" w:firstLine="720"/>
        <w:rPr>
          <w:rFonts w:asciiTheme="minorHAnsi" w:hAnsiTheme="minorHAnsi" w:cstheme="minorHAnsi"/>
          <w:sz w:val="26"/>
          <w:szCs w:val="26"/>
        </w:rPr>
      </w:pPr>
      <w:r w:rsidRPr="00D30136">
        <w:rPr>
          <w:rFonts w:asciiTheme="minorHAnsi" w:hAnsiTheme="minorHAnsi" w:cstheme="minorHAnsi"/>
          <w:sz w:val="26"/>
          <w:szCs w:val="26"/>
        </w:rPr>
        <w:t>- deciziile din mai 2003 și din ianuarie 2013 de respingere a cererilor de azil introduse de dl.  K, prin care s</w:t>
      </w:r>
      <w:r w:rsidRPr="00D30136">
        <w:rPr>
          <w:rFonts w:asciiTheme="minorHAnsi" w:hAnsiTheme="minorHAnsi" w:cstheme="minorHAnsi"/>
          <w:sz w:val="26"/>
          <w:szCs w:val="26"/>
        </w:rPr>
        <w:noBreakHyphen/>
        <w:t xml:space="preserve">a constatat că acesta din urmă se făcea vinovat de conduite care intrau sub incidența articolului 1 secțiunea F litera (a) din Convenția de la Geneva, prin aceea că a avut </w:t>
      </w:r>
      <w:r w:rsidRPr="00D30136">
        <w:rPr>
          <w:rFonts w:asciiTheme="minorHAnsi" w:hAnsiTheme="minorHAnsi" w:cstheme="minorHAnsi"/>
          <w:sz w:val="26"/>
          <w:szCs w:val="26"/>
        </w:rPr>
        <w:lastRenderedPageBreak/>
        <w:t>cunoștință de crime de război și de crime împotriva umanității comise de unitățile speciale ale armatei bosniace și că a participat personal la săvârșirea acestor infracțiuni;</w:t>
      </w:r>
    </w:p>
    <w:p w:rsidR="00D30136" w:rsidRPr="00D30136" w:rsidRDefault="00D30136" w:rsidP="00D30136">
      <w:pPr>
        <w:pStyle w:val="c01pointnumerotealtn"/>
        <w:shd w:val="clear" w:color="auto" w:fill="FFFFFF"/>
        <w:spacing w:before="0" w:beforeAutospacing="0" w:after="0"/>
        <w:ind w:left="0" w:firstLine="720"/>
        <w:rPr>
          <w:rFonts w:asciiTheme="minorHAnsi" w:hAnsiTheme="minorHAnsi" w:cstheme="minorHAnsi"/>
          <w:sz w:val="26"/>
          <w:szCs w:val="26"/>
        </w:rPr>
      </w:pPr>
      <w:r w:rsidRPr="00D30136">
        <w:rPr>
          <w:rFonts w:asciiTheme="minorHAnsi" w:hAnsiTheme="minorHAnsi" w:cstheme="minorHAnsi"/>
          <w:sz w:val="26"/>
          <w:szCs w:val="26"/>
        </w:rPr>
        <w:t>- prezența lui dl.  K pe teritoriul Olandei era de natură să aducă atingere relațiilor internaționale ale acestui stat, astfel încât trebuia să se evite ca acest stat membru să devină gazdă pentru persoane cu privire la care există motive serioase să se presupună că se făceau vinovate de săvârșirea unor fapte grave;</w:t>
      </w:r>
    </w:p>
    <w:p w:rsidR="00D30136" w:rsidRPr="00D30136" w:rsidRDefault="00D30136" w:rsidP="00D30136">
      <w:pPr>
        <w:pStyle w:val="c01pointnumerotealtn"/>
        <w:shd w:val="clear" w:color="auto" w:fill="FFFFFF"/>
        <w:spacing w:before="0" w:beforeAutospacing="0" w:after="0"/>
        <w:ind w:left="0" w:firstLine="720"/>
        <w:rPr>
          <w:rFonts w:asciiTheme="minorHAnsi" w:hAnsiTheme="minorHAnsi" w:cstheme="minorHAnsi"/>
          <w:sz w:val="26"/>
          <w:szCs w:val="26"/>
        </w:rPr>
      </w:pPr>
      <w:r w:rsidRPr="00D30136">
        <w:rPr>
          <w:rFonts w:asciiTheme="minorHAnsi" w:hAnsiTheme="minorHAnsi" w:cstheme="minorHAnsi"/>
          <w:sz w:val="26"/>
          <w:szCs w:val="26"/>
        </w:rPr>
        <w:t>- protecția ordinii publice și a siguranței publice impunea să fie efectuate toate demersurile necesare pentru a împiedica cetățenii olandezi să intre în contact cu persoane care, în statul lor de origine, se făceau vinovate de conduite grave care intrau sub incidența articolului 1 secțiunea F litera (a) din Convenția de la Geneva;</w:t>
      </w:r>
    </w:p>
    <w:p w:rsidR="00D30136" w:rsidRPr="00D30136" w:rsidRDefault="00D30136" w:rsidP="00D30136">
      <w:pPr>
        <w:pStyle w:val="c01pointnumerotealtn"/>
        <w:shd w:val="clear" w:color="auto" w:fill="FFFFFF"/>
        <w:spacing w:before="0" w:beforeAutospacing="0" w:after="0"/>
        <w:ind w:left="0" w:firstLine="720"/>
        <w:rPr>
          <w:rFonts w:asciiTheme="minorHAnsi" w:hAnsiTheme="minorHAnsi" w:cstheme="minorHAnsi"/>
          <w:sz w:val="26"/>
          <w:szCs w:val="26"/>
        </w:rPr>
      </w:pPr>
      <w:r w:rsidRPr="00D30136">
        <w:rPr>
          <w:rFonts w:asciiTheme="minorHAnsi" w:hAnsiTheme="minorHAnsi" w:cstheme="minorHAnsi"/>
          <w:sz w:val="26"/>
          <w:szCs w:val="26"/>
        </w:rPr>
        <w:t xml:space="preserve">- era imperios necesar să se evite ca victime care au suferit ca urmare a unor acte imputate lui dl. K sau membri ai familiilor acestora să se afle în prezența sa în Olanda. </w:t>
      </w:r>
    </w:p>
    <w:p w:rsidR="00D30136" w:rsidRPr="00D30136" w:rsidRDefault="00D30136" w:rsidP="00D30136">
      <w:pPr>
        <w:pStyle w:val="c01pointnumerotealtn"/>
        <w:shd w:val="clear" w:color="auto" w:fill="FFFFFF"/>
        <w:spacing w:before="0" w:beforeAutospacing="0" w:after="0"/>
        <w:ind w:left="0" w:firstLine="720"/>
        <w:rPr>
          <w:rFonts w:asciiTheme="minorHAnsi" w:hAnsiTheme="minorHAnsi" w:cstheme="minorHAnsi"/>
          <w:sz w:val="26"/>
          <w:szCs w:val="26"/>
        </w:rPr>
      </w:pPr>
      <w:r w:rsidRPr="00D30136">
        <w:rPr>
          <w:rFonts w:asciiTheme="minorHAnsi" w:hAnsiTheme="minorHAnsi" w:cstheme="minorHAnsi"/>
          <w:sz w:val="26"/>
          <w:szCs w:val="26"/>
        </w:rPr>
        <w:t>Pe baza tuturor acestor elemente, autoritatea competentă a concluzionat, pe de o parte, că dl. K reprezintă o amenințare reală, prezentă și suficient de gravă la adresa unui interes fundamental al vieții sociale în Olanda și, pe de altă parte, că declararea ca indezirabil a dlui. K nu aduce atingere dreptului respectarea vieții private și de familie.</w:t>
      </w:r>
    </w:p>
    <w:p w:rsidR="00D30136" w:rsidRPr="00D30136" w:rsidRDefault="00D30136" w:rsidP="00D30136">
      <w:pPr>
        <w:pStyle w:val="c01pointnumerotealtn"/>
        <w:shd w:val="clear" w:color="auto" w:fill="FFFFFF"/>
        <w:spacing w:before="0" w:beforeAutospacing="0" w:after="0"/>
        <w:ind w:left="0" w:firstLine="720"/>
        <w:rPr>
          <w:rFonts w:asciiTheme="minorHAnsi" w:hAnsiTheme="minorHAnsi" w:cstheme="minorHAnsi"/>
          <w:sz w:val="26"/>
          <w:szCs w:val="26"/>
        </w:rPr>
      </w:pPr>
      <w:r w:rsidRPr="00D30136">
        <w:rPr>
          <w:rFonts w:asciiTheme="minorHAnsi" w:hAnsiTheme="minorHAnsi" w:cstheme="minorHAnsi"/>
          <w:sz w:val="26"/>
          <w:szCs w:val="26"/>
        </w:rPr>
        <w:t>Domnul K. a introdus o acțiune împotriva deciziei din decembrie 2015 la instanța competentă. Acesta a arătat că:</w:t>
      </w:r>
    </w:p>
    <w:p w:rsidR="00D30136" w:rsidRPr="00D30136" w:rsidRDefault="00D30136" w:rsidP="00D30136">
      <w:pPr>
        <w:pStyle w:val="c01pointnumerotealtn"/>
        <w:shd w:val="clear" w:color="auto" w:fill="FFFFFF"/>
        <w:spacing w:before="0" w:beforeAutospacing="0" w:after="0"/>
        <w:ind w:left="0" w:firstLine="720"/>
        <w:rPr>
          <w:rFonts w:asciiTheme="minorHAnsi" w:hAnsiTheme="minorHAnsi" w:cstheme="minorHAnsi"/>
          <w:sz w:val="26"/>
          <w:szCs w:val="26"/>
        </w:rPr>
      </w:pPr>
      <w:r w:rsidRPr="00D30136">
        <w:rPr>
          <w:rFonts w:asciiTheme="minorHAnsi" w:hAnsiTheme="minorHAnsi" w:cstheme="minorHAnsi"/>
          <w:sz w:val="26"/>
          <w:szCs w:val="26"/>
        </w:rPr>
        <w:t>- motivele invocate de autoritatea competentă pentru a-și justifica decizia erau insuficiente;</w:t>
      </w:r>
    </w:p>
    <w:p w:rsidR="00D30136" w:rsidRPr="00D30136" w:rsidRDefault="00D30136" w:rsidP="00D30136">
      <w:pPr>
        <w:pStyle w:val="c01pointnumerotealtn"/>
        <w:shd w:val="clear" w:color="auto" w:fill="FFFFFF"/>
        <w:spacing w:before="0" w:beforeAutospacing="0" w:after="0"/>
        <w:ind w:left="0" w:firstLine="720"/>
        <w:rPr>
          <w:rFonts w:asciiTheme="minorHAnsi" w:hAnsiTheme="minorHAnsi" w:cstheme="minorHAnsi"/>
          <w:sz w:val="26"/>
          <w:szCs w:val="26"/>
        </w:rPr>
      </w:pPr>
      <w:r w:rsidRPr="00D30136">
        <w:rPr>
          <w:rFonts w:asciiTheme="minorHAnsi" w:hAnsiTheme="minorHAnsi" w:cstheme="minorHAnsi"/>
          <w:sz w:val="26"/>
          <w:szCs w:val="26"/>
        </w:rPr>
        <w:t>- relațiile internaționale ale unui stat membru nu intră sub incidența noțiunii de ordine publică;</w:t>
      </w:r>
    </w:p>
    <w:p w:rsidR="00D30136" w:rsidRPr="00D30136" w:rsidRDefault="00D30136" w:rsidP="00D30136">
      <w:pPr>
        <w:pStyle w:val="c01pointnumerotealtn"/>
        <w:shd w:val="clear" w:color="auto" w:fill="FFFFFF"/>
        <w:spacing w:before="0" w:beforeAutospacing="0" w:after="0"/>
        <w:ind w:left="0" w:firstLine="720"/>
        <w:rPr>
          <w:rFonts w:asciiTheme="minorHAnsi" w:hAnsiTheme="minorHAnsi" w:cstheme="minorHAnsi"/>
          <w:sz w:val="26"/>
          <w:szCs w:val="26"/>
        </w:rPr>
      </w:pPr>
      <w:r w:rsidRPr="00D30136">
        <w:rPr>
          <w:rFonts w:asciiTheme="minorHAnsi" w:hAnsiTheme="minorHAnsi" w:cstheme="minorHAnsi"/>
          <w:sz w:val="26"/>
          <w:szCs w:val="26"/>
        </w:rPr>
        <w:t>-  la baza caracterului actual al amenințării pe care ar reprezenta</w:t>
      </w:r>
      <w:r w:rsidRPr="00D30136">
        <w:rPr>
          <w:rFonts w:asciiTheme="minorHAnsi" w:hAnsiTheme="minorHAnsi" w:cstheme="minorHAnsi"/>
          <w:sz w:val="26"/>
          <w:szCs w:val="26"/>
        </w:rPr>
        <w:noBreakHyphen/>
        <w:t>o dl. K, se află prezumția privind conduita de care s</w:t>
      </w:r>
      <w:r w:rsidRPr="00D30136">
        <w:rPr>
          <w:rFonts w:asciiTheme="minorHAnsi" w:hAnsiTheme="minorHAnsi" w:cstheme="minorHAnsi"/>
          <w:sz w:val="26"/>
          <w:szCs w:val="26"/>
        </w:rPr>
        <w:noBreakHyphen/>
        <w:t>ar fi făcut vinovat în trecut;</w:t>
      </w:r>
    </w:p>
    <w:p w:rsidR="00D30136" w:rsidRPr="00D30136" w:rsidRDefault="00D30136" w:rsidP="00D30136">
      <w:pPr>
        <w:pStyle w:val="c01pointnumerotealtn"/>
        <w:shd w:val="clear" w:color="auto" w:fill="FFFFFF"/>
        <w:spacing w:before="0" w:beforeAutospacing="0" w:after="0"/>
        <w:ind w:left="0" w:firstLine="720"/>
        <w:rPr>
          <w:rFonts w:asciiTheme="minorHAnsi" w:hAnsiTheme="minorHAnsi" w:cstheme="minorHAnsi"/>
          <w:sz w:val="26"/>
          <w:szCs w:val="26"/>
        </w:rPr>
      </w:pPr>
      <w:r w:rsidRPr="00D30136">
        <w:rPr>
          <w:rFonts w:asciiTheme="minorHAnsi" w:hAnsiTheme="minorHAnsi" w:cstheme="minorHAnsi"/>
          <w:sz w:val="26"/>
          <w:szCs w:val="26"/>
        </w:rPr>
        <w:t>- considerând că orice eventual contact în Olanda între dl. K și o victimă determină în sine un risc pentru ordinea publică, extinde în mod excesiv noțiunea de „ordine publică”;</w:t>
      </w:r>
    </w:p>
    <w:p w:rsidR="00D30136" w:rsidRPr="00D30136" w:rsidRDefault="00D30136" w:rsidP="00D30136">
      <w:pPr>
        <w:pStyle w:val="c01pointnumerotealtn"/>
        <w:shd w:val="clear" w:color="auto" w:fill="FFFFFF"/>
        <w:spacing w:before="0" w:beforeAutospacing="0" w:after="0"/>
        <w:ind w:left="0" w:firstLine="720"/>
        <w:rPr>
          <w:rFonts w:asciiTheme="minorHAnsi" w:hAnsiTheme="minorHAnsi" w:cstheme="minorHAnsi"/>
          <w:sz w:val="26"/>
          <w:szCs w:val="26"/>
        </w:rPr>
      </w:pPr>
      <w:r w:rsidRPr="00D30136">
        <w:rPr>
          <w:rFonts w:asciiTheme="minorHAnsi" w:hAnsiTheme="minorHAnsi" w:cstheme="minorHAnsi"/>
          <w:sz w:val="26"/>
          <w:szCs w:val="26"/>
        </w:rPr>
        <w:t>- nu s</w:t>
      </w:r>
      <w:r w:rsidRPr="00D30136">
        <w:rPr>
          <w:rFonts w:asciiTheme="minorHAnsi" w:hAnsiTheme="minorHAnsi" w:cstheme="minorHAnsi"/>
          <w:sz w:val="26"/>
          <w:szCs w:val="26"/>
        </w:rPr>
        <w:noBreakHyphen/>
        <w:t>a demonstrat că eventualele victime ale lui dlui. K s</w:t>
      </w:r>
      <w:r w:rsidRPr="00D30136">
        <w:rPr>
          <w:rFonts w:asciiTheme="minorHAnsi" w:hAnsiTheme="minorHAnsi" w:cstheme="minorHAnsi"/>
          <w:sz w:val="26"/>
          <w:szCs w:val="26"/>
        </w:rPr>
        <w:noBreakHyphen/>
        <w:t xml:space="preserve">ar afla pe teritoriul olandez. </w:t>
      </w:r>
    </w:p>
    <w:p w:rsidR="00D30136" w:rsidRPr="00D30136" w:rsidRDefault="00D30136" w:rsidP="00D30136">
      <w:pPr>
        <w:pStyle w:val="c01pointnumerotealtn"/>
        <w:shd w:val="clear" w:color="auto" w:fill="FFFFFF"/>
        <w:spacing w:before="0" w:beforeAutospacing="0" w:after="0"/>
        <w:ind w:left="0" w:firstLine="720"/>
        <w:rPr>
          <w:rFonts w:asciiTheme="minorHAnsi" w:hAnsiTheme="minorHAnsi" w:cstheme="minorHAnsi"/>
          <w:sz w:val="26"/>
          <w:szCs w:val="26"/>
        </w:rPr>
      </w:pPr>
      <w:r w:rsidRPr="00D30136">
        <w:rPr>
          <w:rFonts w:asciiTheme="minorHAnsi" w:hAnsiTheme="minorHAnsi" w:cstheme="minorHAnsi"/>
          <w:sz w:val="26"/>
          <w:szCs w:val="26"/>
        </w:rPr>
        <w:t>Mai mult, dl. K a adăugat că nu a fost niciodată urmărit penal și nici condamnat pentru faptele care îi erau imputate. Acesta a concluzionat că motivul invocat în decizia de respingere, întemeiat pe faptul că reprezenta o amenințare pentru ordinea publică, este incompatibil cu dreptul Uniunii.</w:t>
      </w:r>
    </w:p>
    <w:p w:rsidR="00D30136" w:rsidRPr="00D30136" w:rsidRDefault="00D30136" w:rsidP="00D30136">
      <w:pPr>
        <w:pStyle w:val="c01pointnumerotealtn"/>
        <w:shd w:val="clear" w:color="auto" w:fill="FFFFFF"/>
        <w:spacing w:before="0" w:beforeAutospacing="0" w:after="0"/>
        <w:ind w:left="0" w:firstLine="720"/>
        <w:rPr>
          <w:rFonts w:asciiTheme="minorHAnsi" w:hAnsiTheme="minorHAnsi" w:cstheme="minorHAnsi"/>
          <w:sz w:val="26"/>
          <w:szCs w:val="26"/>
        </w:rPr>
      </w:pPr>
    </w:p>
    <w:p w:rsidR="00D30136" w:rsidRPr="00D30136" w:rsidRDefault="00D30136" w:rsidP="00D30136">
      <w:pPr>
        <w:pStyle w:val="ListParagraph"/>
        <w:spacing w:after="0" w:line="240" w:lineRule="auto"/>
        <w:ind w:left="0" w:firstLine="720"/>
        <w:jc w:val="both"/>
        <w:rPr>
          <w:rFonts w:asciiTheme="minorHAnsi" w:hAnsiTheme="minorHAnsi" w:cstheme="minorHAnsi"/>
          <w:b/>
          <w:sz w:val="26"/>
          <w:szCs w:val="26"/>
          <w:lang w:val="ro-RO"/>
        </w:rPr>
      </w:pPr>
      <w:r w:rsidRPr="00D30136">
        <w:rPr>
          <w:rFonts w:asciiTheme="minorHAnsi" w:hAnsiTheme="minorHAnsi" w:cstheme="minorHAnsi"/>
          <w:b/>
          <w:i/>
          <w:sz w:val="26"/>
          <w:szCs w:val="26"/>
          <w:u w:val="single"/>
          <w:lang w:val="ro-RO"/>
        </w:rPr>
        <w:t>Lucrarea profesională nr. 3:</w:t>
      </w:r>
    </w:p>
    <w:p w:rsidR="00D30136" w:rsidRPr="00D30136" w:rsidRDefault="00D30136" w:rsidP="00D30136">
      <w:pPr>
        <w:spacing w:after="0" w:line="240" w:lineRule="auto"/>
        <w:ind w:firstLine="720"/>
        <w:jc w:val="both"/>
        <w:rPr>
          <w:rFonts w:asciiTheme="minorHAnsi" w:hAnsiTheme="minorHAnsi" w:cstheme="minorHAnsi"/>
          <w:i/>
          <w:sz w:val="26"/>
          <w:szCs w:val="26"/>
          <w:lang w:val="ro-RO"/>
        </w:rPr>
      </w:pPr>
      <w:r w:rsidRPr="00D30136">
        <w:rPr>
          <w:rFonts w:asciiTheme="minorHAnsi" w:hAnsiTheme="minorHAnsi" w:cstheme="minorHAnsi"/>
          <w:i/>
          <w:sz w:val="26"/>
          <w:szCs w:val="26"/>
          <w:lang w:val="ro-RO"/>
        </w:rPr>
        <w:t>Având în vedere reperele</w:t>
      </w:r>
      <w:r w:rsidRPr="00D30136">
        <w:rPr>
          <w:rStyle w:val="FootnoteReference"/>
          <w:rFonts w:asciiTheme="minorHAnsi" w:hAnsiTheme="minorHAnsi" w:cstheme="minorHAnsi"/>
          <w:i/>
          <w:sz w:val="26"/>
          <w:szCs w:val="26"/>
          <w:lang w:val="ro-RO"/>
        </w:rPr>
        <w:footnoteReference w:id="1"/>
      </w:r>
      <w:r w:rsidRPr="00D30136">
        <w:rPr>
          <w:rFonts w:asciiTheme="minorHAnsi" w:hAnsiTheme="minorHAnsi" w:cstheme="minorHAnsi"/>
          <w:i/>
          <w:sz w:val="26"/>
          <w:szCs w:val="26"/>
          <w:lang w:val="ro-RO"/>
        </w:rPr>
        <w:t xml:space="preserve"> legislative, jurisprudențiale și o comunicare a Comisiei Europene, prezentate mai jos, redactați o opinie care să vină în sprijinul solicitării dlui. K.</w:t>
      </w:r>
    </w:p>
    <w:p w:rsidR="00D30136" w:rsidRPr="00D30136" w:rsidRDefault="00D30136" w:rsidP="00D30136">
      <w:pPr>
        <w:pStyle w:val="c01pointnumerotealtn"/>
        <w:shd w:val="clear" w:color="auto" w:fill="FFFFFF"/>
        <w:spacing w:before="0" w:beforeAutospacing="0" w:after="0"/>
        <w:ind w:left="0" w:firstLine="720"/>
        <w:rPr>
          <w:rFonts w:asciiTheme="minorHAnsi" w:hAnsiTheme="minorHAnsi" w:cstheme="minorHAnsi"/>
          <w:i/>
          <w:sz w:val="26"/>
          <w:szCs w:val="26"/>
        </w:rPr>
      </w:pPr>
    </w:p>
    <w:p w:rsidR="00D30136" w:rsidRPr="00D30136" w:rsidRDefault="00D30136" w:rsidP="00D30136">
      <w:pPr>
        <w:pStyle w:val="c01pointnumerotealtn"/>
        <w:shd w:val="clear" w:color="auto" w:fill="FFFFFF"/>
        <w:spacing w:before="0" w:beforeAutospacing="0" w:after="0"/>
        <w:ind w:left="0" w:firstLine="720"/>
        <w:rPr>
          <w:rFonts w:asciiTheme="minorHAnsi" w:hAnsiTheme="minorHAnsi" w:cstheme="minorHAnsi"/>
          <w:sz w:val="26"/>
          <w:szCs w:val="26"/>
        </w:rPr>
      </w:pPr>
      <w:r w:rsidRPr="00D30136">
        <w:rPr>
          <w:rFonts w:asciiTheme="minorHAnsi" w:hAnsiTheme="minorHAnsi" w:cstheme="minorHAnsi"/>
          <w:sz w:val="26"/>
          <w:szCs w:val="26"/>
        </w:rPr>
        <w:t>Repere:</w:t>
      </w:r>
    </w:p>
    <w:p w:rsidR="00D30136" w:rsidRPr="00D30136" w:rsidRDefault="00D30136" w:rsidP="00D30136">
      <w:pPr>
        <w:spacing w:after="0" w:line="240" w:lineRule="auto"/>
        <w:ind w:firstLine="720"/>
        <w:jc w:val="both"/>
        <w:rPr>
          <w:rFonts w:asciiTheme="minorHAnsi" w:hAnsiTheme="minorHAnsi" w:cstheme="minorHAnsi"/>
          <w:sz w:val="26"/>
          <w:szCs w:val="26"/>
          <w:lang w:val="ro-RO"/>
        </w:rPr>
      </w:pPr>
      <w:r w:rsidRPr="00D30136">
        <w:rPr>
          <w:rFonts w:asciiTheme="minorHAnsi" w:hAnsiTheme="minorHAnsi" w:cstheme="minorHAnsi"/>
          <w:sz w:val="26"/>
          <w:szCs w:val="26"/>
          <w:lang w:val="ro-RO"/>
        </w:rPr>
        <w:t xml:space="preserve">- punctul 50 din Hotărârea din 11 iunie 2015, </w:t>
      </w:r>
      <w:proofErr w:type="spellStart"/>
      <w:r w:rsidRPr="00D30136">
        <w:rPr>
          <w:rFonts w:asciiTheme="minorHAnsi" w:hAnsiTheme="minorHAnsi" w:cstheme="minorHAnsi"/>
          <w:i/>
          <w:sz w:val="26"/>
          <w:szCs w:val="26"/>
          <w:lang w:val="ro-RO"/>
        </w:rPr>
        <w:t>Zh</w:t>
      </w:r>
      <w:proofErr w:type="spellEnd"/>
      <w:r w:rsidRPr="00D30136">
        <w:rPr>
          <w:rFonts w:asciiTheme="minorHAnsi" w:hAnsiTheme="minorHAnsi" w:cstheme="minorHAnsi"/>
          <w:i/>
          <w:sz w:val="26"/>
          <w:szCs w:val="26"/>
          <w:lang w:val="ro-RO"/>
        </w:rPr>
        <w:t>. și O.</w:t>
      </w:r>
      <w:r w:rsidRPr="00D30136">
        <w:rPr>
          <w:rFonts w:asciiTheme="minorHAnsi" w:hAnsiTheme="minorHAnsi" w:cstheme="minorHAnsi"/>
          <w:sz w:val="26"/>
          <w:szCs w:val="26"/>
          <w:lang w:val="ro-RO"/>
        </w:rPr>
        <w:t xml:space="preserve"> (C</w:t>
      </w:r>
      <w:r w:rsidRPr="00D30136">
        <w:rPr>
          <w:rFonts w:asciiTheme="minorHAnsi" w:hAnsiTheme="minorHAnsi" w:cstheme="minorHAnsi"/>
          <w:sz w:val="26"/>
          <w:szCs w:val="26"/>
          <w:lang w:val="ro-RO"/>
        </w:rPr>
        <w:noBreakHyphen/>
        <w:t>554/13, EU:C:2015:377);</w:t>
      </w:r>
    </w:p>
    <w:p w:rsidR="00D30136" w:rsidRPr="00D30136" w:rsidRDefault="00D30136" w:rsidP="00D30136">
      <w:pPr>
        <w:spacing w:after="0" w:line="240" w:lineRule="auto"/>
        <w:ind w:firstLine="720"/>
        <w:jc w:val="both"/>
        <w:rPr>
          <w:rFonts w:asciiTheme="minorHAnsi" w:hAnsiTheme="minorHAnsi" w:cstheme="minorHAnsi"/>
          <w:sz w:val="26"/>
          <w:szCs w:val="26"/>
          <w:lang w:val="ro-RO"/>
        </w:rPr>
      </w:pPr>
      <w:r w:rsidRPr="00D30136">
        <w:rPr>
          <w:rFonts w:asciiTheme="minorHAnsi" w:hAnsiTheme="minorHAnsi" w:cstheme="minorHAnsi"/>
          <w:sz w:val="26"/>
          <w:szCs w:val="26"/>
          <w:lang w:val="ro-RO"/>
        </w:rPr>
        <w:t>- articolului 27 alineatul (2),  28 alineatul (1), 28 alineatul (3) litera (a) din Directiva 2004/38;</w:t>
      </w:r>
    </w:p>
    <w:p w:rsidR="00D30136" w:rsidRPr="00D30136" w:rsidRDefault="00D30136" w:rsidP="00D30136">
      <w:pPr>
        <w:spacing w:after="0" w:line="240" w:lineRule="auto"/>
        <w:ind w:firstLine="720"/>
        <w:jc w:val="both"/>
        <w:rPr>
          <w:rFonts w:asciiTheme="minorHAnsi" w:hAnsiTheme="minorHAnsi" w:cstheme="minorHAnsi"/>
          <w:sz w:val="26"/>
          <w:szCs w:val="26"/>
          <w:lang w:val="ro-RO"/>
        </w:rPr>
      </w:pPr>
      <w:r w:rsidRPr="00D30136">
        <w:rPr>
          <w:rFonts w:asciiTheme="minorHAnsi" w:hAnsiTheme="minorHAnsi" w:cstheme="minorHAnsi"/>
          <w:sz w:val="26"/>
          <w:szCs w:val="26"/>
          <w:lang w:val="ro-RO"/>
        </w:rPr>
        <w:lastRenderedPageBreak/>
        <w:t xml:space="preserve">- Hotărârea din 9 noiembrie 2010, </w:t>
      </w:r>
      <w:r w:rsidRPr="00D30136">
        <w:rPr>
          <w:rFonts w:asciiTheme="minorHAnsi" w:hAnsiTheme="minorHAnsi" w:cstheme="minorHAnsi"/>
          <w:i/>
          <w:sz w:val="26"/>
          <w:szCs w:val="26"/>
          <w:lang w:val="ro-RO"/>
        </w:rPr>
        <w:t>B și D</w:t>
      </w:r>
      <w:r w:rsidRPr="00D30136">
        <w:rPr>
          <w:rFonts w:asciiTheme="minorHAnsi" w:hAnsiTheme="minorHAnsi" w:cstheme="minorHAnsi"/>
          <w:sz w:val="26"/>
          <w:szCs w:val="26"/>
          <w:lang w:val="ro-RO"/>
        </w:rPr>
        <w:t xml:space="preserve"> (C</w:t>
      </w:r>
      <w:r w:rsidRPr="00D30136">
        <w:rPr>
          <w:rFonts w:asciiTheme="minorHAnsi" w:hAnsiTheme="minorHAnsi" w:cstheme="minorHAnsi"/>
          <w:sz w:val="26"/>
          <w:szCs w:val="26"/>
          <w:lang w:val="ro-RO"/>
        </w:rPr>
        <w:noBreakHyphen/>
        <w:t>57/09 și C</w:t>
      </w:r>
      <w:r w:rsidRPr="00D30136">
        <w:rPr>
          <w:rFonts w:asciiTheme="minorHAnsi" w:hAnsiTheme="minorHAnsi" w:cstheme="minorHAnsi"/>
          <w:sz w:val="26"/>
          <w:szCs w:val="26"/>
          <w:lang w:val="ro-RO"/>
        </w:rPr>
        <w:noBreakHyphen/>
        <w:t>101/09, EU:C:2010:661);</w:t>
      </w:r>
    </w:p>
    <w:p w:rsidR="00D30136" w:rsidRPr="00D30136" w:rsidRDefault="00D30136" w:rsidP="00D30136">
      <w:pPr>
        <w:spacing w:after="0" w:line="240" w:lineRule="auto"/>
        <w:ind w:firstLine="720"/>
        <w:jc w:val="both"/>
        <w:rPr>
          <w:rFonts w:asciiTheme="minorHAnsi" w:hAnsiTheme="minorHAnsi" w:cstheme="minorHAnsi"/>
          <w:sz w:val="26"/>
          <w:szCs w:val="26"/>
          <w:lang w:val="ro-RO"/>
        </w:rPr>
      </w:pPr>
      <w:r w:rsidRPr="00D30136">
        <w:rPr>
          <w:rFonts w:asciiTheme="minorHAnsi" w:hAnsiTheme="minorHAnsi" w:cstheme="minorHAnsi"/>
          <w:sz w:val="26"/>
          <w:szCs w:val="26"/>
          <w:lang w:val="ro-RO"/>
        </w:rPr>
        <w:t xml:space="preserve">- Hotărârea din 23 noiembrie 2010, </w:t>
      </w:r>
      <w:proofErr w:type="spellStart"/>
      <w:r w:rsidRPr="00D30136">
        <w:rPr>
          <w:rFonts w:asciiTheme="minorHAnsi" w:hAnsiTheme="minorHAnsi" w:cstheme="minorHAnsi"/>
          <w:i/>
          <w:sz w:val="26"/>
          <w:szCs w:val="26"/>
          <w:lang w:val="ro-RO"/>
        </w:rPr>
        <w:t>Tsakouridis</w:t>
      </w:r>
      <w:proofErr w:type="spellEnd"/>
      <w:r w:rsidRPr="00D30136">
        <w:rPr>
          <w:rFonts w:asciiTheme="minorHAnsi" w:hAnsiTheme="minorHAnsi" w:cstheme="minorHAnsi"/>
          <w:sz w:val="26"/>
          <w:szCs w:val="26"/>
          <w:lang w:val="ro-RO"/>
        </w:rPr>
        <w:t xml:space="preserve"> (C</w:t>
      </w:r>
      <w:r w:rsidRPr="00D30136">
        <w:rPr>
          <w:rFonts w:asciiTheme="minorHAnsi" w:hAnsiTheme="minorHAnsi" w:cstheme="minorHAnsi"/>
          <w:sz w:val="26"/>
          <w:szCs w:val="26"/>
          <w:lang w:val="ro-RO"/>
        </w:rPr>
        <w:noBreakHyphen/>
        <w:t>145/09, EU:C:2010:708);</w:t>
      </w:r>
    </w:p>
    <w:p w:rsidR="00D30136" w:rsidRPr="00D30136" w:rsidRDefault="00D30136" w:rsidP="00D30136">
      <w:pPr>
        <w:spacing w:after="0" w:line="240" w:lineRule="auto"/>
        <w:ind w:firstLine="720"/>
        <w:jc w:val="both"/>
        <w:rPr>
          <w:rFonts w:asciiTheme="minorHAnsi" w:hAnsiTheme="minorHAnsi" w:cstheme="minorHAnsi"/>
          <w:sz w:val="26"/>
          <w:szCs w:val="26"/>
          <w:lang w:val="ro-RO"/>
        </w:rPr>
      </w:pPr>
      <w:r w:rsidRPr="00D30136">
        <w:rPr>
          <w:rFonts w:asciiTheme="minorHAnsi" w:hAnsiTheme="minorHAnsi" w:cstheme="minorHAnsi"/>
          <w:sz w:val="26"/>
          <w:szCs w:val="26"/>
          <w:lang w:val="ro-RO"/>
        </w:rPr>
        <w:t xml:space="preserve">- Hotărârea din 22 mai 2012, </w:t>
      </w:r>
      <w:r w:rsidRPr="00D30136">
        <w:rPr>
          <w:rFonts w:asciiTheme="minorHAnsi" w:hAnsiTheme="minorHAnsi" w:cstheme="minorHAnsi"/>
          <w:i/>
          <w:sz w:val="26"/>
          <w:szCs w:val="26"/>
          <w:lang w:val="ro-RO"/>
        </w:rPr>
        <w:t>I</w:t>
      </w:r>
      <w:r w:rsidRPr="00D30136">
        <w:rPr>
          <w:rFonts w:asciiTheme="minorHAnsi" w:hAnsiTheme="minorHAnsi" w:cstheme="minorHAnsi"/>
          <w:sz w:val="26"/>
          <w:szCs w:val="26"/>
          <w:lang w:val="ro-RO"/>
        </w:rPr>
        <w:t xml:space="preserve"> (C</w:t>
      </w:r>
      <w:r w:rsidRPr="00D30136">
        <w:rPr>
          <w:rFonts w:asciiTheme="minorHAnsi" w:hAnsiTheme="minorHAnsi" w:cstheme="minorHAnsi"/>
          <w:sz w:val="26"/>
          <w:szCs w:val="26"/>
          <w:lang w:val="ro-RO"/>
        </w:rPr>
        <w:noBreakHyphen/>
        <w:t>348/09, EU:C:2012:300);</w:t>
      </w:r>
    </w:p>
    <w:p w:rsidR="00D30136" w:rsidRPr="00D30136" w:rsidRDefault="00D30136" w:rsidP="00D30136">
      <w:pPr>
        <w:spacing w:after="0" w:line="240" w:lineRule="auto"/>
        <w:ind w:firstLine="720"/>
        <w:jc w:val="both"/>
        <w:rPr>
          <w:rFonts w:asciiTheme="minorHAnsi" w:hAnsiTheme="minorHAnsi" w:cstheme="minorHAnsi"/>
          <w:sz w:val="26"/>
          <w:szCs w:val="26"/>
          <w:lang w:val="ro-RO"/>
        </w:rPr>
      </w:pPr>
      <w:r w:rsidRPr="00D30136">
        <w:rPr>
          <w:rFonts w:asciiTheme="minorHAnsi" w:hAnsiTheme="minorHAnsi" w:cstheme="minorHAnsi"/>
          <w:sz w:val="26"/>
          <w:szCs w:val="26"/>
          <w:lang w:val="ro-RO"/>
        </w:rPr>
        <w:t>- Comunicarea din 2 iulie 2009 a Comisiei către Parlamentul european și Consiliu privind orientări pentru o mai bună transpunere și aplicare a Directivei 2004/38 [COM(2009) 313 final].</w:t>
      </w:r>
    </w:p>
    <w:p w:rsidR="00D30136" w:rsidRPr="00D30136" w:rsidRDefault="00D30136" w:rsidP="00D30136">
      <w:pPr>
        <w:spacing w:after="0" w:line="240" w:lineRule="auto"/>
        <w:ind w:firstLine="720"/>
        <w:jc w:val="both"/>
        <w:rPr>
          <w:rFonts w:asciiTheme="minorHAnsi" w:hAnsiTheme="minorHAnsi" w:cstheme="minorHAnsi"/>
          <w:sz w:val="26"/>
          <w:szCs w:val="26"/>
          <w:lang w:val="ro-RO"/>
        </w:rPr>
      </w:pPr>
    </w:p>
    <w:p w:rsidR="00D30136" w:rsidRPr="00D30136" w:rsidRDefault="00D30136" w:rsidP="00D30136">
      <w:pPr>
        <w:spacing w:after="0" w:line="240" w:lineRule="auto"/>
        <w:ind w:firstLine="720"/>
        <w:jc w:val="both"/>
        <w:rPr>
          <w:rFonts w:asciiTheme="minorHAnsi" w:hAnsiTheme="minorHAnsi" w:cstheme="minorHAnsi"/>
          <w:sz w:val="26"/>
          <w:szCs w:val="26"/>
          <w:lang w:val="ro-RO"/>
        </w:rPr>
      </w:pPr>
    </w:p>
    <w:p w:rsidR="00D30136" w:rsidRPr="00D30136" w:rsidRDefault="00D30136" w:rsidP="00D30136">
      <w:pPr>
        <w:spacing w:after="0" w:line="240" w:lineRule="auto"/>
        <w:ind w:firstLine="720"/>
        <w:jc w:val="both"/>
        <w:rPr>
          <w:rFonts w:asciiTheme="minorHAnsi" w:hAnsiTheme="minorHAnsi" w:cstheme="minorHAnsi"/>
          <w:bCs/>
          <w:sz w:val="26"/>
          <w:szCs w:val="26"/>
          <w:lang w:val="ro-RO"/>
        </w:rPr>
      </w:pPr>
      <w:r w:rsidRPr="00D30136">
        <w:rPr>
          <w:rFonts w:asciiTheme="minorHAnsi" w:hAnsiTheme="minorHAnsi" w:cstheme="minorHAnsi"/>
          <w:b/>
          <w:bCs/>
          <w:sz w:val="26"/>
          <w:szCs w:val="26"/>
          <w:lang w:val="ro-RO"/>
        </w:rPr>
        <w:t>Precizări</w:t>
      </w:r>
      <w:r w:rsidRPr="00D30136">
        <w:rPr>
          <w:rFonts w:asciiTheme="minorHAnsi" w:hAnsiTheme="minorHAnsi" w:cstheme="minorHAnsi"/>
          <w:bCs/>
          <w:sz w:val="26"/>
          <w:szCs w:val="26"/>
          <w:lang w:val="ro-RO"/>
        </w:rPr>
        <w:t>:</w:t>
      </w:r>
    </w:p>
    <w:p w:rsidR="00D30136" w:rsidRPr="00D30136" w:rsidRDefault="00D30136" w:rsidP="00D30136">
      <w:pPr>
        <w:spacing w:after="0" w:line="240" w:lineRule="auto"/>
        <w:ind w:firstLine="720"/>
        <w:jc w:val="both"/>
        <w:rPr>
          <w:rFonts w:asciiTheme="minorHAnsi" w:hAnsiTheme="minorHAnsi" w:cstheme="minorHAnsi"/>
          <w:bCs/>
          <w:sz w:val="26"/>
          <w:szCs w:val="26"/>
          <w:lang w:val="ro-RO"/>
        </w:rPr>
      </w:pPr>
      <w:r w:rsidRPr="00D30136">
        <w:rPr>
          <w:rFonts w:asciiTheme="minorHAnsi" w:hAnsiTheme="minorHAnsi" w:cstheme="minorHAnsi"/>
          <w:bCs/>
          <w:sz w:val="26"/>
          <w:szCs w:val="26"/>
          <w:lang w:val="ro-RO"/>
        </w:rPr>
        <w:t>La aprecierea răspunsului vor fi avute în vedere următoarele:</w:t>
      </w:r>
    </w:p>
    <w:p w:rsidR="00D30136" w:rsidRPr="00D30136" w:rsidRDefault="00D30136" w:rsidP="00D30136">
      <w:pPr>
        <w:spacing w:after="0" w:line="240" w:lineRule="auto"/>
        <w:ind w:firstLine="720"/>
        <w:jc w:val="both"/>
        <w:rPr>
          <w:rFonts w:asciiTheme="minorHAnsi" w:hAnsiTheme="minorHAnsi" w:cstheme="minorHAnsi"/>
          <w:bCs/>
          <w:sz w:val="26"/>
          <w:szCs w:val="26"/>
          <w:lang w:val="ro-RO"/>
        </w:rPr>
      </w:pPr>
      <w:r w:rsidRPr="00D30136">
        <w:rPr>
          <w:rFonts w:asciiTheme="minorHAnsi" w:hAnsiTheme="minorHAnsi" w:cstheme="minorHAnsi"/>
          <w:bCs/>
          <w:sz w:val="26"/>
          <w:szCs w:val="26"/>
          <w:lang w:val="ro-RO"/>
        </w:rPr>
        <w:t>- sistematizarea motivării juridice;</w:t>
      </w:r>
    </w:p>
    <w:p w:rsidR="00D30136" w:rsidRPr="00D30136" w:rsidRDefault="00D30136" w:rsidP="00D30136">
      <w:pPr>
        <w:spacing w:after="0" w:line="240" w:lineRule="auto"/>
        <w:ind w:firstLine="720"/>
        <w:jc w:val="both"/>
        <w:rPr>
          <w:rFonts w:asciiTheme="minorHAnsi" w:hAnsiTheme="minorHAnsi" w:cstheme="minorHAnsi"/>
          <w:bCs/>
          <w:sz w:val="26"/>
          <w:szCs w:val="26"/>
          <w:lang w:val="ro-RO"/>
        </w:rPr>
      </w:pPr>
      <w:r w:rsidRPr="00D30136">
        <w:rPr>
          <w:rFonts w:asciiTheme="minorHAnsi" w:hAnsiTheme="minorHAnsi" w:cstheme="minorHAnsi"/>
          <w:bCs/>
          <w:sz w:val="26"/>
          <w:szCs w:val="26"/>
          <w:lang w:val="ro-RO"/>
        </w:rPr>
        <w:t>- temeiul juridic;</w:t>
      </w:r>
    </w:p>
    <w:p w:rsidR="00D30136" w:rsidRPr="00D30136" w:rsidRDefault="00D30136" w:rsidP="00D30136">
      <w:pPr>
        <w:spacing w:after="0" w:line="240" w:lineRule="auto"/>
        <w:ind w:firstLine="720"/>
        <w:jc w:val="both"/>
        <w:rPr>
          <w:rFonts w:asciiTheme="minorHAnsi" w:hAnsiTheme="minorHAnsi" w:cstheme="minorHAnsi"/>
          <w:bCs/>
          <w:sz w:val="26"/>
          <w:szCs w:val="26"/>
          <w:lang w:val="ro-RO"/>
        </w:rPr>
      </w:pPr>
      <w:r w:rsidRPr="00D30136">
        <w:rPr>
          <w:rFonts w:asciiTheme="minorHAnsi" w:hAnsiTheme="minorHAnsi" w:cstheme="minorHAnsi"/>
          <w:bCs/>
          <w:sz w:val="26"/>
          <w:szCs w:val="26"/>
          <w:lang w:val="ro-RO"/>
        </w:rPr>
        <w:t>- identificarea jurisprudenţei relevante pentru domeniu;</w:t>
      </w:r>
    </w:p>
    <w:p w:rsidR="00D30136" w:rsidRPr="00D30136" w:rsidRDefault="00D30136" w:rsidP="00D30136">
      <w:pPr>
        <w:spacing w:after="0" w:line="240" w:lineRule="auto"/>
        <w:ind w:firstLine="720"/>
        <w:jc w:val="both"/>
        <w:rPr>
          <w:rFonts w:asciiTheme="minorHAnsi" w:hAnsiTheme="minorHAnsi" w:cstheme="minorHAnsi"/>
          <w:bCs/>
          <w:sz w:val="26"/>
          <w:szCs w:val="26"/>
          <w:lang w:val="ro-RO"/>
        </w:rPr>
      </w:pPr>
      <w:r w:rsidRPr="00D30136">
        <w:rPr>
          <w:rFonts w:asciiTheme="minorHAnsi" w:hAnsiTheme="minorHAnsi" w:cstheme="minorHAnsi"/>
          <w:bCs/>
          <w:sz w:val="26"/>
          <w:szCs w:val="26"/>
          <w:lang w:val="ro-RO"/>
        </w:rPr>
        <w:t>- identificarea şi folosirea corectă a principiilor jurisprudenţei Curţii de Justiţie a Uniunii Europene;</w:t>
      </w:r>
    </w:p>
    <w:p w:rsidR="00D30136" w:rsidRPr="00D30136" w:rsidRDefault="00D30136" w:rsidP="00D30136">
      <w:pPr>
        <w:spacing w:after="0" w:line="240" w:lineRule="auto"/>
        <w:ind w:firstLine="720"/>
        <w:jc w:val="both"/>
        <w:rPr>
          <w:rFonts w:asciiTheme="minorHAnsi" w:hAnsiTheme="minorHAnsi" w:cstheme="minorHAnsi"/>
          <w:bCs/>
          <w:sz w:val="26"/>
          <w:szCs w:val="26"/>
          <w:lang w:val="ro-RO"/>
        </w:rPr>
      </w:pPr>
      <w:r w:rsidRPr="00D30136">
        <w:rPr>
          <w:rFonts w:asciiTheme="minorHAnsi" w:hAnsiTheme="minorHAnsi" w:cstheme="minorHAnsi"/>
          <w:bCs/>
          <w:sz w:val="26"/>
          <w:szCs w:val="26"/>
          <w:lang w:val="ro-RO"/>
        </w:rPr>
        <w:t>- limbajul juridic;</w:t>
      </w:r>
    </w:p>
    <w:p w:rsidR="00D30136" w:rsidRPr="00D30136" w:rsidRDefault="00D30136" w:rsidP="00D30136">
      <w:pPr>
        <w:spacing w:after="0" w:line="240" w:lineRule="auto"/>
        <w:ind w:firstLine="720"/>
        <w:jc w:val="both"/>
        <w:rPr>
          <w:rFonts w:asciiTheme="minorHAnsi" w:hAnsiTheme="minorHAnsi" w:cstheme="minorHAnsi"/>
          <w:bCs/>
          <w:sz w:val="26"/>
          <w:szCs w:val="26"/>
          <w:lang w:val="ro-RO"/>
        </w:rPr>
      </w:pPr>
      <w:r w:rsidRPr="00D30136">
        <w:rPr>
          <w:rFonts w:asciiTheme="minorHAnsi" w:hAnsiTheme="minorHAnsi" w:cstheme="minorHAnsi"/>
          <w:bCs/>
          <w:sz w:val="26"/>
          <w:szCs w:val="26"/>
          <w:lang w:val="ro-RO"/>
        </w:rPr>
        <w:t>- logica şi pertinenţa argumentării;</w:t>
      </w:r>
    </w:p>
    <w:p w:rsidR="00D30136" w:rsidRPr="00D30136" w:rsidRDefault="00D30136" w:rsidP="00D30136">
      <w:pPr>
        <w:spacing w:after="0" w:line="240" w:lineRule="auto"/>
        <w:ind w:firstLine="720"/>
        <w:jc w:val="both"/>
        <w:rPr>
          <w:rFonts w:asciiTheme="minorHAnsi" w:hAnsiTheme="minorHAnsi" w:cstheme="minorHAnsi"/>
          <w:bCs/>
          <w:sz w:val="26"/>
          <w:szCs w:val="26"/>
          <w:lang w:val="ro-RO"/>
        </w:rPr>
      </w:pPr>
      <w:r w:rsidRPr="00D30136">
        <w:rPr>
          <w:rFonts w:asciiTheme="minorHAnsi" w:hAnsiTheme="minorHAnsi" w:cstheme="minorHAnsi"/>
          <w:bCs/>
          <w:sz w:val="26"/>
          <w:szCs w:val="26"/>
          <w:lang w:val="ro-RO"/>
        </w:rPr>
        <w:t xml:space="preserve">- nota de personalitate (în acest sens, răspunsul poate fi nuanțat, în funcție de interpretarea dată situației de fapt) și </w:t>
      </w:r>
    </w:p>
    <w:p w:rsidR="00D30136" w:rsidRPr="00D30136" w:rsidRDefault="00D30136" w:rsidP="00D30136">
      <w:pPr>
        <w:spacing w:after="0" w:line="240" w:lineRule="auto"/>
        <w:ind w:firstLine="720"/>
        <w:jc w:val="both"/>
        <w:rPr>
          <w:rFonts w:asciiTheme="minorHAnsi" w:hAnsiTheme="minorHAnsi" w:cstheme="minorHAnsi"/>
          <w:bCs/>
          <w:i/>
          <w:sz w:val="26"/>
          <w:szCs w:val="26"/>
          <w:lang w:val="ro-RO"/>
        </w:rPr>
      </w:pPr>
      <w:r w:rsidRPr="00D30136">
        <w:rPr>
          <w:rFonts w:asciiTheme="minorHAnsi" w:hAnsiTheme="minorHAnsi" w:cstheme="minorHAnsi"/>
          <w:bCs/>
          <w:sz w:val="26"/>
          <w:szCs w:val="26"/>
          <w:lang w:val="ro-RO"/>
        </w:rPr>
        <w:t>- indicarea corectă a legislaţiei, a jurisprudenţei și a doctrinei folosite.</w:t>
      </w:r>
    </w:p>
    <w:p w:rsidR="00D30136" w:rsidRPr="00D30136" w:rsidRDefault="00D30136" w:rsidP="00D30136">
      <w:pPr>
        <w:pStyle w:val="c01pointnumerotealtn"/>
        <w:shd w:val="clear" w:color="auto" w:fill="FFFFFF"/>
        <w:spacing w:before="0" w:beforeAutospacing="0" w:after="0"/>
        <w:ind w:left="0" w:firstLine="720"/>
        <w:rPr>
          <w:rFonts w:asciiTheme="minorHAnsi" w:hAnsiTheme="minorHAnsi" w:cstheme="minorHAnsi"/>
          <w:sz w:val="26"/>
          <w:szCs w:val="26"/>
        </w:rPr>
      </w:pPr>
    </w:p>
    <w:p w:rsidR="00D30136" w:rsidRPr="00D30136" w:rsidRDefault="00D30136" w:rsidP="00D30136">
      <w:pPr>
        <w:pStyle w:val="c01pointnumerotealtn"/>
        <w:shd w:val="clear" w:color="auto" w:fill="FFFFFF"/>
        <w:spacing w:before="0" w:beforeAutospacing="0" w:after="0"/>
        <w:ind w:left="0" w:firstLine="720"/>
        <w:rPr>
          <w:rFonts w:asciiTheme="minorHAnsi" w:hAnsiTheme="minorHAnsi" w:cstheme="minorHAnsi"/>
          <w:sz w:val="26"/>
          <w:szCs w:val="26"/>
        </w:rPr>
      </w:pPr>
    </w:p>
    <w:p w:rsidR="00D30136" w:rsidRPr="00D30136" w:rsidRDefault="00D30136" w:rsidP="00D30136">
      <w:pPr>
        <w:pStyle w:val="c01pointnumerotealtn"/>
        <w:shd w:val="clear" w:color="auto" w:fill="FFFFFF"/>
        <w:spacing w:before="0" w:beforeAutospacing="0" w:after="0"/>
        <w:ind w:left="0" w:firstLine="720"/>
        <w:rPr>
          <w:rFonts w:asciiTheme="minorHAnsi" w:hAnsiTheme="minorHAnsi" w:cstheme="minorHAnsi"/>
          <w:sz w:val="26"/>
          <w:szCs w:val="26"/>
        </w:rPr>
      </w:pPr>
    </w:p>
    <w:p w:rsidR="00D30136" w:rsidRPr="00D30136" w:rsidRDefault="00D30136" w:rsidP="00D30136">
      <w:pPr>
        <w:pStyle w:val="c01pointnumerotealtn"/>
        <w:shd w:val="clear" w:color="auto" w:fill="FFFFFF"/>
        <w:spacing w:before="0" w:beforeAutospacing="0" w:after="0"/>
        <w:ind w:left="0" w:firstLine="720"/>
        <w:rPr>
          <w:rFonts w:asciiTheme="minorHAnsi" w:hAnsiTheme="minorHAnsi" w:cstheme="minorHAnsi"/>
          <w:sz w:val="26"/>
          <w:szCs w:val="26"/>
        </w:rPr>
      </w:pPr>
    </w:p>
    <w:sectPr w:rsidR="00D30136" w:rsidRPr="00D30136" w:rsidSect="000E587B">
      <w:headerReference w:type="default" r:id="rId10"/>
      <w:footerReference w:type="default" r:id="rId11"/>
      <w:pgSz w:w="12240" w:h="15840"/>
      <w:pgMar w:top="720" w:right="900" w:bottom="5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4E10" w:rsidRDefault="005C4E10" w:rsidP="00B53E5C">
      <w:pPr>
        <w:spacing w:after="0" w:line="240" w:lineRule="auto"/>
      </w:pPr>
      <w:r>
        <w:separator/>
      </w:r>
    </w:p>
  </w:endnote>
  <w:endnote w:type="continuationSeparator" w:id="0">
    <w:p w:rsidR="005C4E10" w:rsidRDefault="005C4E10" w:rsidP="00B53E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nstantia">
    <w:panose1 w:val="02030602050306030303"/>
    <w:charset w:val="00"/>
    <w:family w:val="roman"/>
    <w:pitch w:val="variable"/>
    <w:sig w:usb0="A00002EF" w:usb1="4000204B"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566F" w:rsidRDefault="001B566F">
    <w:pPr>
      <w:pStyle w:val="Footer"/>
      <w:jc w:val="right"/>
    </w:pPr>
    <w:proofErr w:type="spellStart"/>
    <w:r>
      <w:t>Pagina</w:t>
    </w:r>
    <w:proofErr w:type="spellEnd"/>
    <w:r>
      <w:t xml:space="preserve"> | </w:t>
    </w:r>
    <w:r>
      <w:fldChar w:fldCharType="begin"/>
    </w:r>
    <w:r>
      <w:instrText xml:space="preserve"> PAGE   \* MERGEFORMAT </w:instrText>
    </w:r>
    <w:r>
      <w:fldChar w:fldCharType="separate"/>
    </w:r>
    <w:r w:rsidR="00D30136">
      <w:rPr>
        <w:noProof/>
      </w:rPr>
      <w:t>1</w:t>
    </w:r>
    <w:r>
      <w:rPr>
        <w:noProof/>
      </w:rPr>
      <w:fldChar w:fldCharType="end"/>
    </w:r>
    <w:r>
      <w:t xml:space="preserve"> </w:t>
    </w:r>
  </w:p>
  <w:p w:rsidR="001B566F" w:rsidRDefault="001B566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4E10" w:rsidRDefault="005C4E10" w:rsidP="00B53E5C">
      <w:pPr>
        <w:spacing w:after="0" w:line="240" w:lineRule="auto"/>
      </w:pPr>
      <w:r>
        <w:separator/>
      </w:r>
    </w:p>
  </w:footnote>
  <w:footnote w:type="continuationSeparator" w:id="0">
    <w:p w:rsidR="005C4E10" w:rsidRDefault="005C4E10" w:rsidP="00B53E5C">
      <w:pPr>
        <w:spacing w:after="0" w:line="240" w:lineRule="auto"/>
      </w:pPr>
      <w:r>
        <w:continuationSeparator/>
      </w:r>
    </w:p>
  </w:footnote>
  <w:footnote w:id="1">
    <w:p w:rsidR="00D30136" w:rsidRPr="00D30136" w:rsidRDefault="00D30136" w:rsidP="00D30136">
      <w:pPr>
        <w:pStyle w:val="FootnoteText"/>
      </w:pPr>
      <w:r w:rsidRPr="00D30136">
        <w:rPr>
          <w:rStyle w:val="FootnoteReference"/>
        </w:rPr>
        <w:footnoteRef/>
      </w:r>
      <w:r w:rsidRPr="00D30136">
        <w:t xml:space="preserve"> Reperele au caracter orientativ; pot fi adăugate și altele, inclusiv doctrina domeniului.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566F" w:rsidRDefault="001B566F">
    <w:pPr>
      <w:pStyle w:val="Header"/>
    </w:pPr>
  </w:p>
  <w:p w:rsidR="001B566F" w:rsidRDefault="001B566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F4256D"/>
    <w:multiLevelType w:val="hybridMultilevel"/>
    <w:tmpl w:val="046E45E0"/>
    <w:lvl w:ilvl="0" w:tplc="CC0690C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1F792BBB"/>
    <w:multiLevelType w:val="hybridMultilevel"/>
    <w:tmpl w:val="8E1656BA"/>
    <w:lvl w:ilvl="0" w:tplc="3C782B46">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nsid w:val="221F4A6D"/>
    <w:multiLevelType w:val="hybridMultilevel"/>
    <w:tmpl w:val="ED384354"/>
    <w:lvl w:ilvl="0" w:tplc="CEAC5158">
      <w:start w:val="1"/>
      <w:numFmt w:val="decimal"/>
      <w:lvlText w:val="%1."/>
      <w:lvlJc w:val="left"/>
      <w:pPr>
        <w:ind w:left="927" w:hanging="360"/>
      </w:pPr>
      <w:rPr>
        <w:rFonts w:hint="default"/>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3">
    <w:nsid w:val="2BCB454A"/>
    <w:multiLevelType w:val="hybridMultilevel"/>
    <w:tmpl w:val="B3EE4898"/>
    <w:lvl w:ilvl="0" w:tplc="0BF6255C">
      <w:start w:val="1"/>
      <w:numFmt w:val="decimal"/>
      <w:lvlText w:val="%1."/>
      <w:lvlJc w:val="left"/>
      <w:pPr>
        <w:ind w:left="927" w:hanging="360"/>
      </w:pPr>
      <w:rPr>
        <w:rFonts w:hint="default"/>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4">
    <w:nsid w:val="358312B6"/>
    <w:multiLevelType w:val="hybridMultilevel"/>
    <w:tmpl w:val="74D695EA"/>
    <w:lvl w:ilvl="0" w:tplc="6A280684">
      <w:start w:val="1"/>
      <w:numFmt w:val="bullet"/>
      <w:lvlText w:val="-"/>
      <w:lvlJc w:val="left"/>
      <w:pPr>
        <w:ind w:left="927" w:hanging="360"/>
      </w:pPr>
      <w:rPr>
        <w:rFonts w:ascii="Constantia" w:eastAsia="Times New Roman" w:hAnsi="Constantia" w:cs="Times New Roman" w:hint="default"/>
      </w:rPr>
    </w:lvl>
    <w:lvl w:ilvl="1" w:tplc="04180003" w:tentative="1">
      <w:start w:val="1"/>
      <w:numFmt w:val="bullet"/>
      <w:lvlText w:val="o"/>
      <w:lvlJc w:val="left"/>
      <w:pPr>
        <w:ind w:left="1647" w:hanging="360"/>
      </w:pPr>
      <w:rPr>
        <w:rFonts w:ascii="Courier New" w:hAnsi="Courier New" w:cs="Courier New" w:hint="default"/>
      </w:rPr>
    </w:lvl>
    <w:lvl w:ilvl="2" w:tplc="04180005" w:tentative="1">
      <w:start w:val="1"/>
      <w:numFmt w:val="bullet"/>
      <w:lvlText w:val=""/>
      <w:lvlJc w:val="left"/>
      <w:pPr>
        <w:ind w:left="2367" w:hanging="360"/>
      </w:pPr>
      <w:rPr>
        <w:rFonts w:ascii="Wingdings" w:hAnsi="Wingdings" w:hint="default"/>
      </w:rPr>
    </w:lvl>
    <w:lvl w:ilvl="3" w:tplc="04180001" w:tentative="1">
      <w:start w:val="1"/>
      <w:numFmt w:val="bullet"/>
      <w:lvlText w:val=""/>
      <w:lvlJc w:val="left"/>
      <w:pPr>
        <w:ind w:left="3087" w:hanging="360"/>
      </w:pPr>
      <w:rPr>
        <w:rFonts w:ascii="Symbol" w:hAnsi="Symbol" w:hint="default"/>
      </w:rPr>
    </w:lvl>
    <w:lvl w:ilvl="4" w:tplc="04180003" w:tentative="1">
      <w:start w:val="1"/>
      <w:numFmt w:val="bullet"/>
      <w:lvlText w:val="o"/>
      <w:lvlJc w:val="left"/>
      <w:pPr>
        <w:ind w:left="3807" w:hanging="360"/>
      </w:pPr>
      <w:rPr>
        <w:rFonts w:ascii="Courier New" w:hAnsi="Courier New" w:cs="Courier New" w:hint="default"/>
      </w:rPr>
    </w:lvl>
    <w:lvl w:ilvl="5" w:tplc="04180005" w:tentative="1">
      <w:start w:val="1"/>
      <w:numFmt w:val="bullet"/>
      <w:lvlText w:val=""/>
      <w:lvlJc w:val="left"/>
      <w:pPr>
        <w:ind w:left="4527" w:hanging="360"/>
      </w:pPr>
      <w:rPr>
        <w:rFonts w:ascii="Wingdings" w:hAnsi="Wingdings" w:hint="default"/>
      </w:rPr>
    </w:lvl>
    <w:lvl w:ilvl="6" w:tplc="04180001" w:tentative="1">
      <w:start w:val="1"/>
      <w:numFmt w:val="bullet"/>
      <w:lvlText w:val=""/>
      <w:lvlJc w:val="left"/>
      <w:pPr>
        <w:ind w:left="5247" w:hanging="360"/>
      </w:pPr>
      <w:rPr>
        <w:rFonts w:ascii="Symbol" w:hAnsi="Symbol" w:hint="default"/>
      </w:rPr>
    </w:lvl>
    <w:lvl w:ilvl="7" w:tplc="04180003" w:tentative="1">
      <w:start w:val="1"/>
      <w:numFmt w:val="bullet"/>
      <w:lvlText w:val="o"/>
      <w:lvlJc w:val="left"/>
      <w:pPr>
        <w:ind w:left="5967" w:hanging="360"/>
      </w:pPr>
      <w:rPr>
        <w:rFonts w:ascii="Courier New" w:hAnsi="Courier New" w:cs="Courier New" w:hint="default"/>
      </w:rPr>
    </w:lvl>
    <w:lvl w:ilvl="8" w:tplc="04180005" w:tentative="1">
      <w:start w:val="1"/>
      <w:numFmt w:val="bullet"/>
      <w:lvlText w:val=""/>
      <w:lvlJc w:val="left"/>
      <w:pPr>
        <w:ind w:left="6687" w:hanging="360"/>
      </w:pPr>
      <w:rPr>
        <w:rFonts w:ascii="Wingdings" w:hAnsi="Wingdings" w:hint="default"/>
      </w:rPr>
    </w:lvl>
  </w:abstractNum>
  <w:abstractNum w:abstractNumId="5">
    <w:nsid w:val="3D812D6F"/>
    <w:multiLevelType w:val="hybridMultilevel"/>
    <w:tmpl w:val="0F56C452"/>
    <w:lvl w:ilvl="0" w:tplc="19A41D64">
      <w:start w:val="1"/>
      <w:numFmt w:val="decimal"/>
      <w:lvlText w:val="%1."/>
      <w:lvlJc w:val="left"/>
      <w:pPr>
        <w:ind w:left="1287" w:hanging="360"/>
      </w:pPr>
      <w:rPr>
        <w:b/>
        <w:i w:val="0"/>
      </w:rPr>
    </w:lvl>
    <w:lvl w:ilvl="1" w:tplc="04180019" w:tentative="1">
      <w:start w:val="1"/>
      <w:numFmt w:val="lowerLetter"/>
      <w:lvlText w:val="%2."/>
      <w:lvlJc w:val="left"/>
      <w:pPr>
        <w:ind w:left="2007" w:hanging="360"/>
      </w:pPr>
    </w:lvl>
    <w:lvl w:ilvl="2" w:tplc="0418001B" w:tentative="1">
      <w:start w:val="1"/>
      <w:numFmt w:val="lowerRoman"/>
      <w:lvlText w:val="%3."/>
      <w:lvlJc w:val="right"/>
      <w:pPr>
        <w:ind w:left="2727" w:hanging="180"/>
      </w:pPr>
    </w:lvl>
    <w:lvl w:ilvl="3" w:tplc="0418000F" w:tentative="1">
      <w:start w:val="1"/>
      <w:numFmt w:val="decimal"/>
      <w:lvlText w:val="%4."/>
      <w:lvlJc w:val="left"/>
      <w:pPr>
        <w:ind w:left="3447" w:hanging="360"/>
      </w:pPr>
    </w:lvl>
    <w:lvl w:ilvl="4" w:tplc="04180019" w:tentative="1">
      <w:start w:val="1"/>
      <w:numFmt w:val="lowerLetter"/>
      <w:lvlText w:val="%5."/>
      <w:lvlJc w:val="left"/>
      <w:pPr>
        <w:ind w:left="4167" w:hanging="360"/>
      </w:pPr>
    </w:lvl>
    <w:lvl w:ilvl="5" w:tplc="0418001B" w:tentative="1">
      <w:start w:val="1"/>
      <w:numFmt w:val="lowerRoman"/>
      <w:lvlText w:val="%6."/>
      <w:lvlJc w:val="right"/>
      <w:pPr>
        <w:ind w:left="4887" w:hanging="180"/>
      </w:pPr>
    </w:lvl>
    <w:lvl w:ilvl="6" w:tplc="0418000F" w:tentative="1">
      <w:start w:val="1"/>
      <w:numFmt w:val="decimal"/>
      <w:lvlText w:val="%7."/>
      <w:lvlJc w:val="left"/>
      <w:pPr>
        <w:ind w:left="5607" w:hanging="360"/>
      </w:pPr>
    </w:lvl>
    <w:lvl w:ilvl="7" w:tplc="04180019" w:tentative="1">
      <w:start w:val="1"/>
      <w:numFmt w:val="lowerLetter"/>
      <w:lvlText w:val="%8."/>
      <w:lvlJc w:val="left"/>
      <w:pPr>
        <w:ind w:left="6327" w:hanging="360"/>
      </w:pPr>
    </w:lvl>
    <w:lvl w:ilvl="8" w:tplc="0418001B" w:tentative="1">
      <w:start w:val="1"/>
      <w:numFmt w:val="lowerRoman"/>
      <w:lvlText w:val="%9."/>
      <w:lvlJc w:val="right"/>
      <w:pPr>
        <w:ind w:left="7047" w:hanging="180"/>
      </w:pPr>
    </w:lvl>
  </w:abstractNum>
  <w:abstractNum w:abstractNumId="6">
    <w:nsid w:val="431B1B62"/>
    <w:multiLevelType w:val="hybridMultilevel"/>
    <w:tmpl w:val="AD4E3220"/>
    <w:lvl w:ilvl="0" w:tplc="4AC0FC0A">
      <w:start w:val="1"/>
      <w:numFmt w:val="decimal"/>
      <w:lvlText w:val="%1."/>
      <w:lvlJc w:val="left"/>
      <w:pPr>
        <w:ind w:left="1287" w:hanging="360"/>
      </w:pPr>
      <w:rPr>
        <w:i w:val="0"/>
      </w:rPr>
    </w:lvl>
    <w:lvl w:ilvl="1" w:tplc="04180019" w:tentative="1">
      <w:start w:val="1"/>
      <w:numFmt w:val="lowerLetter"/>
      <w:lvlText w:val="%2."/>
      <w:lvlJc w:val="left"/>
      <w:pPr>
        <w:ind w:left="2007" w:hanging="360"/>
      </w:pPr>
    </w:lvl>
    <w:lvl w:ilvl="2" w:tplc="0418001B" w:tentative="1">
      <w:start w:val="1"/>
      <w:numFmt w:val="lowerRoman"/>
      <w:lvlText w:val="%3."/>
      <w:lvlJc w:val="right"/>
      <w:pPr>
        <w:ind w:left="2727" w:hanging="180"/>
      </w:pPr>
    </w:lvl>
    <w:lvl w:ilvl="3" w:tplc="0418000F" w:tentative="1">
      <w:start w:val="1"/>
      <w:numFmt w:val="decimal"/>
      <w:lvlText w:val="%4."/>
      <w:lvlJc w:val="left"/>
      <w:pPr>
        <w:ind w:left="3447" w:hanging="360"/>
      </w:pPr>
    </w:lvl>
    <w:lvl w:ilvl="4" w:tplc="04180019" w:tentative="1">
      <w:start w:val="1"/>
      <w:numFmt w:val="lowerLetter"/>
      <w:lvlText w:val="%5."/>
      <w:lvlJc w:val="left"/>
      <w:pPr>
        <w:ind w:left="4167" w:hanging="360"/>
      </w:pPr>
    </w:lvl>
    <w:lvl w:ilvl="5" w:tplc="0418001B" w:tentative="1">
      <w:start w:val="1"/>
      <w:numFmt w:val="lowerRoman"/>
      <w:lvlText w:val="%6."/>
      <w:lvlJc w:val="right"/>
      <w:pPr>
        <w:ind w:left="4887" w:hanging="180"/>
      </w:pPr>
    </w:lvl>
    <w:lvl w:ilvl="6" w:tplc="0418000F" w:tentative="1">
      <w:start w:val="1"/>
      <w:numFmt w:val="decimal"/>
      <w:lvlText w:val="%7."/>
      <w:lvlJc w:val="left"/>
      <w:pPr>
        <w:ind w:left="5607" w:hanging="360"/>
      </w:pPr>
    </w:lvl>
    <w:lvl w:ilvl="7" w:tplc="04180019" w:tentative="1">
      <w:start w:val="1"/>
      <w:numFmt w:val="lowerLetter"/>
      <w:lvlText w:val="%8."/>
      <w:lvlJc w:val="left"/>
      <w:pPr>
        <w:ind w:left="6327" w:hanging="360"/>
      </w:pPr>
    </w:lvl>
    <w:lvl w:ilvl="8" w:tplc="0418001B" w:tentative="1">
      <w:start w:val="1"/>
      <w:numFmt w:val="lowerRoman"/>
      <w:lvlText w:val="%9."/>
      <w:lvlJc w:val="right"/>
      <w:pPr>
        <w:ind w:left="7047" w:hanging="180"/>
      </w:pPr>
    </w:lvl>
  </w:abstractNum>
  <w:abstractNum w:abstractNumId="7">
    <w:nsid w:val="4634727C"/>
    <w:multiLevelType w:val="hybridMultilevel"/>
    <w:tmpl w:val="CCEC1BD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8EA4ACD"/>
    <w:multiLevelType w:val="hybridMultilevel"/>
    <w:tmpl w:val="C308B02A"/>
    <w:lvl w:ilvl="0" w:tplc="0418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59D63CFE"/>
    <w:multiLevelType w:val="hybridMultilevel"/>
    <w:tmpl w:val="4F6C3354"/>
    <w:lvl w:ilvl="0" w:tplc="0418001B">
      <w:start w:val="1"/>
      <w:numFmt w:val="lowerRoman"/>
      <w:lvlText w:val="%1."/>
      <w:lvlJc w:val="right"/>
      <w:pPr>
        <w:ind w:left="1287" w:hanging="360"/>
      </w:pPr>
    </w:lvl>
    <w:lvl w:ilvl="1" w:tplc="04180019" w:tentative="1">
      <w:start w:val="1"/>
      <w:numFmt w:val="lowerLetter"/>
      <w:lvlText w:val="%2."/>
      <w:lvlJc w:val="left"/>
      <w:pPr>
        <w:ind w:left="2007" w:hanging="360"/>
      </w:pPr>
    </w:lvl>
    <w:lvl w:ilvl="2" w:tplc="0418001B" w:tentative="1">
      <w:start w:val="1"/>
      <w:numFmt w:val="lowerRoman"/>
      <w:lvlText w:val="%3."/>
      <w:lvlJc w:val="right"/>
      <w:pPr>
        <w:ind w:left="2727" w:hanging="180"/>
      </w:pPr>
    </w:lvl>
    <w:lvl w:ilvl="3" w:tplc="0418000F" w:tentative="1">
      <w:start w:val="1"/>
      <w:numFmt w:val="decimal"/>
      <w:lvlText w:val="%4."/>
      <w:lvlJc w:val="left"/>
      <w:pPr>
        <w:ind w:left="3447" w:hanging="360"/>
      </w:pPr>
    </w:lvl>
    <w:lvl w:ilvl="4" w:tplc="04180019" w:tentative="1">
      <w:start w:val="1"/>
      <w:numFmt w:val="lowerLetter"/>
      <w:lvlText w:val="%5."/>
      <w:lvlJc w:val="left"/>
      <w:pPr>
        <w:ind w:left="4167" w:hanging="360"/>
      </w:pPr>
    </w:lvl>
    <w:lvl w:ilvl="5" w:tplc="0418001B" w:tentative="1">
      <w:start w:val="1"/>
      <w:numFmt w:val="lowerRoman"/>
      <w:lvlText w:val="%6."/>
      <w:lvlJc w:val="right"/>
      <w:pPr>
        <w:ind w:left="4887" w:hanging="180"/>
      </w:pPr>
    </w:lvl>
    <w:lvl w:ilvl="6" w:tplc="0418000F" w:tentative="1">
      <w:start w:val="1"/>
      <w:numFmt w:val="decimal"/>
      <w:lvlText w:val="%7."/>
      <w:lvlJc w:val="left"/>
      <w:pPr>
        <w:ind w:left="5607" w:hanging="360"/>
      </w:pPr>
    </w:lvl>
    <w:lvl w:ilvl="7" w:tplc="04180019" w:tentative="1">
      <w:start w:val="1"/>
      <w:numFmt w:val="lowerLetter"/>
      <w:lvlText w:val="%8."/>
      <w:lvlJc w:val="left"/>
      <w:pPr>
        <w:ind w:left="6327" w:hanging="360"/>
      </w:pPr>
    </w:lvl>
    <w:lvl w:ilvl="8" w:tplc="0418001B" w:tentative="1">
      <w:start w:val="1"/>
      <w:numFmt w:val="lowerRoman"/>
      <w:lvlText w:val="%9."/>
      <w:lvlJc w:val="right"/>
      <w:pPr>
        <w:ind w:left="7047" w:hanging="180"/>
      </w:pPr>
    </w:lvl>
  </w:abstractNum>
  <w:abstractNum w:abstractNumId="10">
    <w:nsid w:val="5CA44A11"/>
    <w:multiLevelType w:val="hybridMultilevel"/>
    <w:tmpl w:val="585C185E"/>
    <w:lvl w:ilvl="0" w:tplc="0418001B">
      <w:start w:val="1"/>
      <w:numFmt w:val="lowerRoman"/>
      <w:lvlText w:val="%1."/>
      <w:lvlJc w:val="right"/>
      <w:pPr>
        <w:ind w:left="1287" w:hanging="360"/>
      </w:pPr>
    </w:lvl>
    <w:lvl w:ilvl="1" w:tplc="04180019" w:tentative="1">
      <w:start w:val="1"/>
      <w:numFmt w:val="lowerLetter"/>
      <w:lvlText w:val="%2."/>
      <w:lvlJc w:val="left"/>
      <w:pPr>
        <w:ind w:left="2007" w:hanging="360"/>
      </w:pPr>
    </w:lvl>
    <w:lvl w:ilvl="2" w:tplc="0418001B" w:tentative="1">
      <w:start w:val="1"/>
      <w:numFmt w:val="lowerRoman"/>
      <w:lvlText w:val="%3."/>
      <w:lvlJc w:val="right"/>
      <w:pPr>
        <w:ind w:left="2727" w:hanging="180"/>
      </w:pPr>
    </w:lvl>
    <w:lvl w:ilvl="3" w:tplc="0418000F" w:tentative="1">
      <w:start w:val="1"/>
      <w:numFmt w:val="decimal"/>
      <w:lvlText w:val="%4."/>
      <w:lvlJc w:val="left"/>
      <w:pPr>
        <w:ind w:left="3447" w:hanging="360"/>
      </w:pPr>
    </w:lvl>
    <w:lvl w:ilvl="4" w:tplc="04180019" w:tentative="1">
      <w:start w:val="1"/>
      <w:numFmt w:val="lowerLetter"/>
      <w:lvlText w:val="%5."/>
      <w:lvlJc w:val="left"/>
      <w:pPr>
        <w:ind w:left="4167" w:hanging="360"/>
      </w:pPr>
    </w:lvl>
    <w:lvl w:ilvl="5" w:tplc="0418001B" w:tentative="1">
      <w:start w:val="1"/>
      <w:numFmt w:val="lowerRoman"/>
      <w:lvlText w:val="%6."/>
      <w:lvlJc w:val="right"/>
      <w:pPr>
        <w:ind w:left="4887" w:hanging="180"/>
      </w:pPr>
    </w:lvl>
    <w:lvl w:ilvl="6" w:tplc="0418000F" w:tentative="1">
      <w:start w:val="1"/>
      <w:numFmt w:val="decimal"/>
      <w:lvlText w:val="%7."/>
      <w:lvlJc w:val="left"/>
      <w:pPr>
        <w:ind w:left="5607" w:hanging="360"/>
      </w:pPr>
    </w:lvl>
    <w:lvl w:ilvl="7" w:tplc="04180019" w:tentative="1">
      <w:start w:val="1"/>
      <w:numFmt w:val="lowerLetter"/>
      <w:lvlText w:val="%8."/>
      <w:lvlJc w:val="left"/>
      <w:pPr>
        <w:ind w:left="6327" w:hanging="360"/>
      </w:pPr>
    </w:lvl>
    <w:lvl w:ilvl="8" w:tplc="0418001B" w:tentative="1">
      <w:start w:val="1"/>
      <w:numFmt w:val="lowerRoman"/>
      <w:lvlText w:val="%9."/>
      <w:lvlJc w:val="right"/>
      <w:pPr>
        <w:ind w:left="7047" w:hanging="180"/>
      </w:pPr>
    </w:lvl>
  </w:abstractNum>
  <w:abstractNum w:abstractNumId="11">
    <w:nsid w:val="5FD70FC9"/>
    <w:multiLevelType w:val="hybridMultilevel"/>
    <w:tmpl w:val="82325378"/>
    <w:lvl w:ilvl="0" w:tplc="30A2190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6A8D7803"/>
    <w:multiLevelType w:val="hybridMultilevel"/>
    <w:tmpl w:val="35BA7E64"/>
    <w:lvl w:ilvl="0" w:tplc="04180015">
      <w:start w:val="1"/>
      <w:numFmt w:val="upperLetter"/>
      <w:lvlText w:val="%1."/>
      <w:lvlJc w:val="left"/>
      <w:pPr>
        <w:ind w:left="388" w:hanging="360"/>
      </w:pPr>
      <w:rPr>
        <w:rFonts w:hint="default"/>
      </w:rPr>
    </w:lvl>
    <w:lvl w:ilvl="1" w:tplc="04180003" w:tentative="1">
      <w:start w:val="1"/>
      <w:numFmt w:val="bullet"/>
      <w:lvlText w:val="o"/>
      <w:lvlJc w:val="left"/>
      <w:pPr>
        <w:ind w:left="1108" w:hanging="360"/>
      </w:pPr>
      <w:rPr>
        <w:rFonts w:ascii="Courier New" w:hAnsi="Courier New" w:cs="Courier New" w:hint="default"/>
      </w:rPr>
    </w:lvl>
    <w:lvl w:ilvl="2" w:tplc="04180005" w:tentative="1">
      <w:start w:val="1"/>
      <w:numFmt w:val="bullet"/>
      <w:lvlText w:val=""/>
      <w:lvlJc w:val="left"/>
      <w:pPr>
        <w:ind w:left="1828" w:hanging="360"/>
      </w:pPr>
      <w:rPr>
        <w:rFonts w:ascii="Wingdings" w:hAnsi="Wingdings" w:hint="default"/>
      </w:rPr>
    </w:lvl>
    <w:lvl w:ilvl="3" w:tplc="04180001" w:tentative="1">
      <w:start w:val="1"/>
      <w:numFmt w:val="bullet"/>
      <w:lvlText w:val=""/>
      <w:lvlJc w:val="left"/>
      <w:pPr>
        <w:ind w:left="2548" w:hanging="360"/>
      </w:pPr>
      <w:rPr>
        <w:rFonts w:ascii="Symbol" w:hAnsi="Symbol" w:hint="default"/>
      </w:rPr>
    </w:lvl>
    <w:lvl w:ilvl="4" w:tplc="04180003" w:tentative="1">
      <w:start w:val="1"/>
      <w:numFmt w:val="bullet"/>
      <w:lvlText w:val="o"/>
      <w:lvlJc w:val="left"/>
      <w:pPr>
        <w:ind w:left="3268" w:hanging="360"/>
      </w:pPr>
      <w:rPr>
        <w:rFonts w:ascii="Courier New" w:hAnsi="Courier New" w:cs="Courier New" w:hint="default"/>
      </w:rPr>
    </w:lvl>
    <w:lvl w:ilvl="5" w:tplc="04180005" w:tentative="1">
      <w:start w:val="1"/>
      <w:numFmt w:val="bullet"/>
      <w:lvlText w:val=""/>
      <w:lvlJc w:val="left"/>
      <w:pPr>
        <w:ind w:left="3988" w:hanging="360"/>
      </w:pPr>
      <w:rPr>
        <w:rFonts w:ascii="Wingdings" w:hAnsi="Wingdings" w:hint="default"/>
      </w:rPr>
    </w:lvl>
    <w:lvl w:ilvl="6" w:tplc="04180001" w:tentative="1">
      <w:start w:val="1"/>
      <w:numFmt w:val="bullet"/>
      <w:lvlText w:val=""/>
      <w:lvlJc w:val="left"/>
      <w:pPr>
        <w:ind w:left="4708" w:hanging="360"/>
      </w:pPr>
      <w:rPr>
        <w:rFonts w:ascii="Symbol" w:hAnsi="Symbol" w:hint="default"/>
      </w:rPr>
    </w:lvl>
    <w:lvl w:ilvl="7" w:tplc="04180003" w:tentative="1">
      <w:start w:val="1"/>
      <w:numFmt w:val="bullet"/>
      <w:lvlText w:val="o"/>
      <w:lvlJc w:val="left"/>
      <w:pPr>
        <w:ind w:left="5428" w:hanging="360"/>
      </w:pPr>
      <w:rPr>
        <w:rFonts w:ascii="Courier New" w:hAnsi="Courier New" w:cs="Courier New" w:hint="default"/>
      </w:rPr>
    </w:lvl>
    <w:lvl w:ilvl="8" w:tplc="04180005" w:tentative="1">
      <w:start w:val="1"/>
      <w:numFmt w:val="bullet"/>
      <w:lvlText w:val=""/>
      <w:lvlJc w:val="left"/>
      <w:pPr>
        <w:ind w:left="6148" w:hanging="360"/>
      </w:pPr>
      <w:rPr>
        <w:rFonts w:ascii="Wingdings" w:hAnsi="Wingdings" w:hint="default"/>
      </w:rPr>
    </w:lvl>
  </w:abstractNum>
  <w:abstractNum w:abstractNumId="13">
    <w:nsid w:val="6A922070"/>
    <w:multiLevelType w:val="hybridMultilevel"/>
    <w:tmpl w:val="1F08ECD8"/>
    <w:lvl w:ilvl="0" w:tplc="A724A678">
      <w:start w:val="1"/>
      <w:numFmt w:val="upperLetter"/>
      <w:lvlText w:val="%1."/>
      <w:lvlJc w:val="left"/>
      <w:pPr>
        <w:ind w:left="388" w:hanging="360"/>
      </w:pPr>
      <w:rPr>
        <w:rFonts w:hint="default"/>
        <w:b/>
      </w:rPr>
    </w:lvl>
    <w:lvl w:ilvl="1" w:tplc="04180003" w:tentative="1">
      <w:start w:val="1"/>
      <w:numFmt w:val="bullet"/>
      <w:lvlText w:val="o"/>
      <w:lvlJc w:val="left"/>
      <w:pPr>
        <w:ind w:left="1108" w:hanging="360"/>
      </w:pPr>
      <w:rPr>
        <w:rFonts w:ascii="Courier New" w:hAnsi="Courier New" w:cs="Courier New" w:hint="default"/>
      </w:rPr>
    </w:lvl>
    <w:lvl w:ilvl="2" w:tplc="04180005" w:tentative="1">
      <w:start w:val="1"/>
      <w:numFmt w:val="bullet"/>
      <w:lvlText w:val=""/>
      <w:lvlJc w:val="left"/>
      <w:pPr>
        <w:ind w:left="1828" w:hanging="360"/>
      </w:pPr>
      <w:rPr>
        <w:rFonts w:ascii="Wingdings" w:hAnsi="Wingdings" w:hint="default"/>
      </w:rPr>
    </w:lvl>
    <w:lvl w:ilvl="3" w:tplc="04180001" w:tentative="1">
      <w:start w:val="1"/>
      <w:numFmt w:val="bullet"/>
      <w:lvlText w:val=""/>
      <w:lvlJc w:val="left"/>
      <w:pPr>
        <w:ind w:left="2548" w:hanging="360"/>
      </w:pPr>
      <w:rPr>
        <w:rFonts w:ascii="Symbol" w:hAnsi="Symbol" w:hint="default"/>
      </w:rPr>
    </w:lvl>
    <w:lvl w:ilvl="4" w:tplc="04180003" w:tentative="1">
      <w:start w:val="1"/>
      <w:numFmt w:val="bullet"/>
      <w:lvlText w:val="o"/>
      <w:lvlJc w:val="left"/>
      <w:pPr>
        <w:ind w:left="3268" w:hanging="360"/>
      </w:pPr>
      <w:rPr>
        <w:rFonts w:ascii="Courier New" w:hAnsi="Courier New" w:cs="Courier New" w:hint="default"/>
      </w:rPr>
    </w:lvl>
    <w:lvl w:ilvl="5" w:tplc="04180005" w:tentative="1">
      <w:start w:val="1"/>
      <w:numFmt w:val="bullet"/>
      <w:lvlText w:val=""/>
      <w:lvlJc w:val="left"/>
      <w:pPr>
        <w:ind w:left="3988" w:hanging="360"/>
      </w:pPr>
      <w:rPr>
        <w:rFonts w:ascii="Wingdings" w:hAnsi="Wingdings" w:hint="default"/>
      </w:rPr>
    </w:lvl>
    <w:lvl w:ilvl="6" w:tplc="04180001" w:tentative="1">
      <w:start w:val="1"/>
      <w:numFmt w:val="bullet"/>
      <w:lvlText w:val=""/>
      <w:lvlJc w:val="left"/>
      <w:pPr>
        <w:ind w:left="4708" w:hanging="360"/>
      </w:pPr>
      <w:rPr>
        <w:rFonts w:ascii="Symbol" w:hAnsi="Symbol" w:hint="default"/>
      </w:rPr>
    </w:lvl>
    <w:lvl w:ilvl="7" w:tplc="04180003" w:tentative="1">
      <w:start w:val="1"/>
      <w:numFmt w:val="bullet"/>
      <w:lvlText w:val="o"/>
      <w:lvlJc w:val="left"/>
      <w:pPr>
        <w:ind w:left="5428" w:hanging="360"/>
      </w:pPr>
      <w:rPr>
        <w:rFonts w:ascii="Courier New" w:hAnsi="Courier New" w:cs="Courier New" w:hint="default"/>
      </w:rPr>
    </w:lvl>
    <w:lvl w:ilvl="8" w:tplc="04180005" w:tentative="1">
      <w:start w:val="1"/>
      <w:numFmt w:val="bullet"/>
      <w:lvlText w:val=""/>
      <w:lvlJc w:val="left"/>
      <w:pPr>
        <w:ind w:left="6148" w:hanging="360"/>
      </w:pPr>
      <w:rPr>
        <w:rFonts w:ascii="Wingdings" w:hAnsi="Wingdings" w:hint="default"/>
      </w:rPr>
    </w:lvl>
  </w:abstractNum>
  <w:abstractNum w:abstractNumId="14">
    <w:nsid w:val="743D07AC"/>
    <w:multiLevelType w:val="hybridMultilevel"/>
    <w:tmpl w:val="A59E522E"/>
    <w:lvl w:ilvl="0" w:tplc="91587E46">
      <w:start w:val="1"/>
      <w:numFmt w:val="decimal"/>
      <w:lvlText w:val="%1."/>
      <w:lvlJc w:val="left"/>
      <w:pPr>
        <w:ind w:left="927" w:hanging="360"/>
      </w:pPr>
      <w:rPr>
        <w:rFonts w:hint="default"/>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num w:numId="1">
    <w:abstractNumId w:val="1"/>
  </w:num>
  <w:num w:numId="2">
    <w:abstractNumId w:val="7"/>
  </w:num>
  <w:num w:numId="3">
    <w:abstractNumId w:val="0"/>
  </w:num>
  <w:num w:numId="4">
    <w:abstractNumId w:val="11"/>
  </w:num>
  <w:num w:numId="5">
    <w:abstractNumId w:val="8"/>
  </w:num>
  <w:num w:numId="6">
    <w:abstractNumId w:val="4"/>
  </w:num>
  <w:num w:numId="7">
    <w:abstractNumId w:val="12"/>
  </w:num>
  <w:num w:numId="8">
    <w:abstractNumId w:val="13"/>
  </w:num>
  <w:num w:numId="9">
    <w:abstractNumId w:val="6"/>
  </w:num>
  <w:num w:numId="10">
    <w:abstractNumId w:val="10"/>
  </w:num>
  <w:num w:numId="11">
    <w:abstractNumId w:val="9"/>
  </w:num>
  <w:num w:numId="12">
    <w:abstractNumId w:val="5"/>
  </w:num>
  <w:num w:numId="13">
    <w:abstractNumId w:val="3"/>
  </w:num>
  <w:num w:numId="14">
    <w:abstractNumId w:val="14"/>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3E5C"/>
    <w:rsid w:val="000107CF"/>
    <w:rsid w:val="00016607"/>
    <w:rsid w:val="00020532"/>
    <w:rsid w:val="00045775"/>
    <w:rsid w:val="00072B41"/>
    <w:rsid w:val="00083BDA"/>
    <w:rsid w:val="0009744E"/>
    <w:rsid w:val="000C60F3"/>
    <w:rsid w:val="000C634C"/>
    <w:rsid w:val="000E587B"/>
    <w:rsid w:val="000E61D0"/>
    <w:rsid w:val="001026D2"/>
    <w:rsid w:val="00116B45"/>
    <w:rsid w:val="00131F20"/>
    <w:rsid w:val="00144E71"/>
    <w:rsid w:val="001575A7"/>
    <w:rsid w:val="00172923"/>
    <w:rsid w:val="001B566F"/>
    <w:rsid w:val="00256C18"/>
    <w:rsid w:val="00284F77"/>
    <w:rsid w:val="002873C6"/>
    <w:rsid w:val="002E2C3C"/>
    <w:rsid w:val="0032346F"/>
    <w:rsid w:val="00333C68"/>
    <w:rsid w:val="00334440"/>
    <w:rsid w:val="0035256D"/>
    <w:rsid w:val="003632FA"/>
    <w:rsid w:val="003817EF"/>
    <w:rsid w:val="0039518D"/>
    <w:rsid w:val="003B2C44"/>
    <w:rsid w:val="003B5EB3"/>
    <w:rsid w:val="003D7AC4"/>
    <w:rsid w:val="004315DD"/>
    <w:rsid w:val="00485D66"/>
    <w:rsid w:val="004957F3"/>
    <w:rsid w:val="004B5C2D"/>
    <w:rsid w:val="005026F9"/>
    <w:rsid w:val="00517B4F"/>
    <w:rsid w:val="005B7DFD"/>
    <w:rsid w:val="005B7FB5"/>
    <w:rsid w:val="005C4E10"/>
    <w:rsid w:val="005F0645"/>
    <w:rsid w:val="00611889"/>
    <w:rsid w:val="006230E3"/>
    <w:rsid w:val="006A1071"/>
    <w:rsid w:val="006C4CED"/>
    <w:rsid w:val="006D08D8"/>
    <w:rsid w:val="006D55E6"/>
    <w:rsid w:val="006D62AA"/>
    <w:rsid w:val="006F7232"/>
    <w:rsid w:val="007575BD"/>
    <w:rsid w:val="00762B53"/>
    <w:rsid w:val="00776993"/>
    <w:rsid w:val="007964E6"/>
    <w:rsid w:val="007D7725"/>
    <w:rsid w:val="0080601F"/>
    <w:rsid w:val="008451DE"/>
    <w:rsid w:val="008662A0"/>
    <w:rsid w:val="00870748"/>
    <w:rsid w:val="00884CFA"/>
    <w:rsid w:val="008B00CE"/>
    <w:rsid w:val="008C5645"/>
    <w:rsid w:val="00914EA8"/>
    <w:rsid w:val="00925C64"/>
    <w:rsid w:val="00932BDC"/>
    <w:rsid w:val="00940112"/>
    <w:rsid w:val="009F1D9D"/>
    <w:rsid w:val="00A23EB1"/>
    <w:rsid w:val="00A30353"/>
    <w:rsid w:val="00A74914"/>
    <w:rsid w:val="00AB7702"/>
    <w:rsid w:val="00AF6ADA"/>
    <w:rsid w:val="00B01D00"/>
    <w:rsid w:val="00B53E5C"/>
    <w:rsid w:val="00B85993"/>
    <w:rsid w:val="00BA4E00"/>
    <w:rsid w:val="00BA7921"/>
    <w:rsid w:val="00C25264"/>
    <w:rsid w:val="00C2526E"/>
    <w:rsid w:val="00C8762F"/>
    <w:rsid w:val="00CE3CEA"/>
    <w:rsid w:val="00CF2C8C"/>
    <w:rsid w:val="00D30136"/>
    <w:rsid w:val="00D55177"/>
    <w:rsid w:val="00D60FE5"/>
    <w:rsid w:val="00D6179D"/>
    <w:rsid w:val="00D876CB"/>
    <w:rsid w:val="00DB4F48"/>
    <w:rsid w:val="00E0040F"/>
    <w:rsid w:val="00E767CC"/>
    <w:rsid w:val="00EC7DDB"/>
    <w:rsid w:val="00ED65B9"/>
    <w:rsid w:val="00F3256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3E5C"/>
    <w:pPr>
      <w:ind w:left="720"/>
      <w:contextualSpacing/>
    </w:pPr>
  </w:style>
  <w:style w:type="paragraph" w:customStyle="1" w:styleId="c01pointnumerotealtn">
    <w:name w:val="c01pointnumerotealtn"/>
    <w:basedOn w:val="Normal"/>
    <w:rsid w:val="00B53E5C"/>
    <w:pPr>
      <w:spacing w:before="100" w:beforeAutospacing="1" w:after="240" w:line="240" w:lineRule="auto"/>
      <w:ind w:left="567" w:hanging="539"/>
      <w:jc w:val="both"/>
    </w:pPr>
    <w:rPr>
      <w:rFonts w:ascii="Times New Roman" w:eastAsia="Times New Roman" w:hAnsi="Times New Roman"/>
      <w:sz w:val="24"/>
      <w:szCs w:val="24"/>
      <w:lang w:val="ro-RO" w:eastAsia="ro-RO"/>
    </w:rPr>
  </w:style>
  <w:style w:type="paragraph" w:styleId="Header">
    <w:name w:val="header"/>
    <w:basedOn w:val="Normal"/>
    <w:link w:val="HeaderChar"/>
    <w:uiPriority w:val="99"/>
    <w:unhideWhenUsed/>
    <w:rsid w:val="00B53E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3E5C"/>
  </w:style>
  <w:style w:type="paragraph" w:styleId="Footer">
    <w:name w:val="footer"/>
    <w:basedOn w:val="Normal"/>
    <w:link w:val="FooterChar"/>
    <w:uiPriority w:val="99"/>
    <w:unhideWhenUsed/>
    <w:rsid w:val="00B53E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3E5C"/>
  </w:style>
  <w:style w:type="paragraph" w:styleId="BalloonText">
    <w:name w:val="Balloon Text"/>
    <w:basedOn w:val="Normal"/>
    <w:link w:val="BalloonTextChar"/>
    <w:uiPriority w:val="99"/>
    <w:semiHidden/>
    <w:unhideWhenUsed/>
    <w:rsid w:val="00B53E5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53E5C"/>
    <w:rPr>
      <w:rFonts w:ascii="Tahoma" w:hAnsi="Tahoma" w:cs="Tahoma"/>
      <w:sz w:val="16"/>
      <w:szCs w:val="16"/>
    </w:rPr>
  </w:style>
  <w:style w:type="paragraph" w:customStyle="1" w:styleId="c09marge0avecretrait">
    <w:name w:val="c09marge0avecretrait"/>
    <w:basedOn w:val="Normal"/>
    <w:rsid w:val="00F32567"/>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284F77"/>
  </w:style>
  <w:style w:type="paragraph" w:customStyle="1" w:styleId="c02alineaalta">
    <w:name w:val="c02alineaalta"/>
    <w:basedOn w:val="Normal"/>
    <w:rsid w:val="00284F77"/>
    <w:pPr>
      <w:spacing w:before="100" w:beforeAutospacing="1" w:after="100" w:afterAutospacing="1" w:line="240" w:lineRule="auto"/>
    </w:pPr>
    <w:rPr>
      <w:rFonts w:ascii="Times New Roman" w:eastAsia="Times New Roman" w:hAnsi="Times New Roman"/>
      <w:sz w:val="24"/>
      <w:szCs w:val="24"/>
      <w:lang w:val="ro-RO" w:eastAsia="ro-RO"/>
    </w:rPr>
  </w:style>
  <w:style w:type="paragraph" w:customStyle="1" w:styleId="c03tiretlong">
    <w:name w:val="c03tiretlong"/>
    <w:basedOn w:val="Normal"/>
    <w:rsid w:val="008B00CE"/>
    <w:pPr>
      <w:spacing w:before="100" w:beforeAutospacing="1" w:after="100" w:afterAutospacing="1" w:line="240" w:lineRule="auto"/>
    </w:pPr>
    <w:rPr>
      <w:rFonts w:ascii="Times New Roman" w:eastAsia="Times New Roman" w:hAnsi="Times New Roman"/>
      <w:sz w:val="24"/>
      <w:szCs w:val="24"/>
      <w:lang w:val="ro-RO" w:eastAsia="ro-RO"/>
    </w:rPr>
  </w:style>
  <w:style w:type="table" w:styleId="TableGrid">
    <w:name w:val="Table Grid"/>
    <w:basedOn w:val="TableNormal"/>
    <w:uiPriority w:val="59"/>
    <w:rsid w:val="000107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D30136"/>
    <w:pPr>
      <w:spacing w:after="0" w:line="240" w:lineRule="auto"/>
    </w:pPr>
    <w:rPr>
      <w:rFonts w:ascii="Times New Roman" w:eastAsiaTheme="minorHAnsi" w:hAnsi="Times New Roman"/>
      <w:sz w:val="20"/>
      <w:szCs w:val="20"/>
      <w:lang w:val="ro-RO"/>
    </w:rPr>
  </w:style>
  <w:style w:type="character" w:customStyle="1" w:styleId="FootnoteTextChar">
    <w:name w:val="Footnote Text Char"/>
    <w:basedOn w:val="DefaultParagraphFont"/>
    <w:link w:val="FootnoteText"/>
    <w:uiPriority w:val="99"/>
    <w:semiHidden/>
    <w:rsid w:val="00D30136"/>
    <w:rPr>
      <w:rFonts w:ascii="Times New Roman" w:eastAsiaTheme="minorHAnsi" w:hAnsi="Times New Roman"/>
      <w:lang w:eastAsia="en-US"/>
    </w:rPr>
  </w:style>
  <w:style w:type="character" w:styleId="FootnoteReference">
    <w:name w:val="footnote reference"/>
    <w:basedOn w:val="DefaultParagraphFont"/>
    <w:uiPriority w:val="99"/>
    <w:semiHidden/>
    <w:unhideWhenUsed/>
    <w:rsid w:val="00D3013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3E5C"/>
    <w:pPr>
      <w:ind w:left="720"/>
      <w:contextualSpacing/>
    </w:pPr>
  </w:style>
  <w:style w:type="paragraph" w:customStyle="1" w:styleId="c01pointnumerotealtn">
    <w:name w:val="c01pointnumerotealtn"/>
    <w:basedOn w:val="Normal"/>
    <w:rsid w:val="00B53E5C"/>
    <w:pPr>
      <w:spacing w:before="100" w:beforeAutospacing="1" w:after="240" w:line="240" w:lineRule="auto"/>
      <w:ind w:left="567" w:hanging="539"/>
      <w:jc w:val="both"/>
    </w:pPr>
    <w:rPr>
      <w:rFonts w:ascii="Times New Roman" w:eastAsia="Times New Roman" w:hAnsi="Times New Roman"/>
      <w:sz w:val="24"/>
      <w:szCs w:val="24"/>
      <w:lang w:val="ro-RO" w:eastAsia="ro-RO"/>
    </w:rPr>
  </w:style>
  <w:style w:type="paragraph" w:styleId="Header">
    <w:name w:val="header"/>
    <w:basedOn w:val="Normal"/>
    <w:link w:val="HeaderChar"/>
    <w:uiPriority w:val="99"/>
    <w:unhideWhenUsed/>
    <w:rsid w:val="00B53E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3E5C"/>
  </w:style>
  <w:style w:type="paragraph" w:styleId="Footer">
    <w:name w:val="footer"/>
    <w:basedOn w:val="Normal"/>
    <w:link w:val="FooterChar"/>
    <w:uiPriority w:val="99"/>
    <w:unhideWhenUsed/>
    <w:rsid w:val="00B53E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3E5C"/>
  </w:style>
  <w:style w:type="paragraph" w:styleId="BalloonText">
    <w:name w:val="Balloon Text"/>
    <w:basedOn w:val="Normal"/>
    <w:link w:val="BalloonTextChar"/>
    <w:uiPriority w:val="99"/>
    <w:semiHidden/>
    <w:unhideWhenUsed/>
    <w:rsid w:val="00B53E5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53E5C"/>
    <w:rPr>
      <w:rFonts w:ascii="Tahoma" w:hAnsi="Tahoma" w:cs="Tahoma"/>
      <w:sz w:val="16"/>
      <w:szCs w:val="16"/>
    </w:rPr>
  </w:style>
  <w:style w:type="paragraph" w:customStyle="1" w:styleId="c09marge0avecretrait">
    <w:name w:val="c09marge0avecretrait"/>
    <w:basedOn w:val="Normal"/>
    <w:rsid w:val="00F32567"/>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284F77"/>
  </w:style>
  <w:style w:type="paragraph" w:customStyle="1" w:styleId="c02alineaalta">
    <w:name w:val="c02alineaalta"/>
    <w:basedOn w:val="Normal"/>
    <w:rsid w:val="00284F77"/>
    <w:pPr>
      <w:spacing w:before="100" w:beforeAutospacing="1" w:after="100" w:afterAutospacing="1" w:line="240" w:lineRule="auto"/>
    </w:pPr>
    <w:rPr>
      <w:rFonts w:ascii="Times New Roman" w:eastAsia="Times New Roman" w:hAnsi="Times New Roman"/>
      <w:sz w:val="24"/>
      <w:szCs w:val="24"/>
      <w:lang w:val="ro-RO" w:eastAsia="ro-RO"/>
    </w:rPr>
  </w:style>
  <w:style w:type="paragraph" w:customStyle="1" w:styleId="c03tiretlong">
    <w:name w:val="c03tiretlong"/>
    <w:basedOn w:val="Normal"/>
    <w:rsid w:val="008B00CE"/>
    <w:pPr>
      <w:spacing w:before="100" w:beforeAutospacing="1" w:after="100" w:afterAutospacing="1" w:line="240" w:lineRule="auto"/>
    </w:pPr>
    <w:rPr>
      <w:rFonts w:ascii="Times New Roman" w:eastAsia="Times New Roman" w:hAnsi="Times New Roman"/>
      <w:sz w:val="24"/>
      <w:szCs w:val="24"/>
      <w:lang w:val="ro-RO" w:eastAsia="ro-RO"/>
    </w:rPr>
  </w:style>
  <w:style w:type="table" w:styleId="TableGrid">
    <w:name w:val="Table Grid"/>
    <w:basedOn w:val="TableNormal"/>
    <w:uiPriority w:val="59"/>
    <w:rsid w:val="000107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D30136"/>
    <w:pPr>
      <w:spacing w:after="0" w:line="240" w:lineRule="auto"/>
    </w:pPr>
    <w:rPr>
      <w:rFonts w:ascii="Times New Roman" w:eastAsiaTheme="minorHAnsi" w:hAnsi="Times New Roman"/>
      <w:sz w:val="20"/>
      <w:szCs w:val="20"/>
      <w:lang w:val="ro-RO"/>
    </w:rPr>
  </w:style>
  <w:style w:type="character" w:customStyle="1" w:styleId="FootnoteTextChar">
    <w:name w:val="Footnote Text Char"/>
    <w:basedOn w:val="DefaultParagraphFont"/>
    <w:link w:val="FootnoteText"/>
    <w:uiPriority w:val="99"/>
    <w:semiHidden/>
    <w:rsid w:val="00D30136"/>
    <w:rPr>
      <w:rFonts w:ascii="Times New Roman" w:eastAsiaTheme="minorHAnsi" w:hAnsi="Times New Roman"/>
      <w:lang w:eastAsia="en-US"/>
    </w:rPr>
  </w:style>
  <w:style w:type="character" w:styleId="FootnoteReference">
    <w:name w:val="footnote reference"/>
    <w:basedOn w:val="DefaultParagraphFont"/>
    <w:uiPriority w:val="99"/>
    <w:semiHidden/>
    <w:unhideWhenUsed/>
    <w:rsid w:val="00D3013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1002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7CFA96-7C94-486E-BA38-8BBDD12EC2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1302</Words>
  <Characters>7425</Characters>
  <Application>Microsoft Office Word</Application>
  <DocSecurity>0</DocSecurity>
  <Lines>61</Lines>
  <Paragraphs>17</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INPPA</vt:lpstr>
      <vt:lpstr>INPPA</vt:lpstr>
    </vt:vector>
  </TitlesOfParts>
  <Company/>
  <LinksUpToDate>false</LinksUpToDate>
  <CharactersWithSpaces>8710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INPPA</dc:title>
  <dc:creator>Isabela Delia Popa</dc:creator>
  <cp:lastModifiedBy>Veronica Morecut</cp:lastModifiedBy>
  <cp:revision>3</cp:revision>
  <dcterms:created xsi:type="dcterms:W3CDTF">2018-09-26T08:19:00Z</dcterms:created>
  <dcterms:modified xsi:type="dcterms:W3CDTF">2018-09-26T08:25:00Z</dcterms:modified>
</cp:coreProperties>
</file>