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53EE" w14:textId="77777777" w:rsidR="007C0E59" w:rsidRPr="004640D8" w:rsidRDefault="007C0E59" w:rsidP="003C5E86">
      <w:pPr>
        <w:autoSpaceDN w:val="0"/>
        <w:adjustRightInd w:val="0"/>
        <w:spacing w:after="0" w:line="240" w:lineRule="auto"/>
        <w:jc w:val="right"/>
        <w:rPr>
          <w:rFonts w:ascii="Cambria" w:hAnsi="Cambria"/>
          <w:b/>
          <w:bCs/>
          <w:color w:val="000000"/>
          <w:sz w:val="26"/>
          <w:szCs w:val="26"/>
          <w:lang w:val="ro-RO"/>
        </w:rPr>
      </w:pPr>
      <w:bookmarkStart w:id="0" w:name="_GoBack"/>
      <w:bookmarkEnd w:id="0"/>
      <w:r w:rsidRPr="004640D8">
        <w:rPr>
          <w:rFonts w:ascii="Cambria" w:hAnsi="Cambria"/>
          <w:noProof/>
          <w:sz w:val="26"/>
          <w:szCs w:val="26"/>
          <w:lang w:val="ro-RO"/>
        </w:rPr>
        <w:pict w14:anchorId="7550E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4640D8">
        <w:rPr>
          <w:rFonts w:ascii="Cambria" w:hAnsi="Cambria"/>
          <w:b/>
          <w:bCs/>
          <w:color w:val="000000"/>
          <w:sz w:val="26"/>
          <w:szCs w:val="26"/>
          <w:lang w:val="ro-RO"/>
        </w:rPr>
        <w:t xml:space="preserve">INSTITUTUL NAŢIONAL PENTRU </w:t>
      </w:r>
    </w:p>
    <w:p w14:paraId="7D99A23B" w14:textId="77777777" w:rsidR="007C0E59" w:rsidRPr="004640D8" w:rsidRDefault="007C0E59" w:rsidP="003C5E86">
      <w:pPr>
        <w:autoSpaceDN w:val="0"/>
        <w:adjustRightInd w:val="0"/>
        <w:spacing w:after="0" w:line="240" w:lineRule="auto"/>
        <w:jc w:val="right"/>
        <w:rPr>
          <w:rFonts w:ascii="Cambria" w:hAnsi="Cambria"/>
          <w:b/>
          <w:bCs/>
          <w:color w:val="000000"/>
          <w:sz w:val="26"/>
          <w:szCs w:val="26"/>
          <w:lang w:val="ro-RO"/>
        </w:rPr>
      </w:pPr>
      <w:r w:rsidRPr="004640D8">
        <w:rPr>
          <w:rFonts w:ascii="Cambria" w:hAnsi="Cambria"/>
          <w:b/>
          <w:bCs/>
          <w:color w:val="000000"/>
          <w:sz w:val="26"/>
          <w:szCs w:val="26"/>
          <w:lang w:val="ro-RO"/>
        </w:rPr>
        <w:t xml:space="preserve">PREGĂTIREA ŞI PERFECŢIONAREA AVOCAŢILOR </w:t>
      </w:r>
    </w:p>
    <w:p w14:paraId="09F1AA4C" w14:textId="77777777" w:rsidR="007C0E59" w:rsidRPr="004640D8" w:rsidRDefault="007C0E59" w:rsidP="003C5E86">
      <w:pPr>
        <w:autoSpaceDN w:val="0"/>
        <w:adjustRightInd w:val="0"/>
        <w:spacing w:after="0" w:line="240" w:lineRule="auto"/>
        <w:jc w:val="right"/>
        <w:rPr>
          <w:rFonts w:ascii="Cambria" w:hAnsi="Cambria"/>
          <w:b/>
          <w:bCs/>
          <w:color w:val="000000"/>
          <w:sz w:val="26"/>
          <w:szCs w:val="26"/>
          <w:lang w:val="ro-RO"/>
        </w:rPr>
      </w:pPr>
    </w:p>
    <w:p w14:paraId="171ED8A3" w14:textId="77777777" w:rsidR="007C0E59" w:rsidRPr="004640D8" w:rsidRDefault="007C0E59" w:rsidP="003C5E86">
      <w:pPr>
        <w:autoSpaceDN w:val="0"/>
        <w:adjustRightInd w:val="0"/>
        <w:spacing w:after="0" w:line="240" w:lineRule="auto"/>
        <w:jc w:val="right"/>
        <w:rPr>
          <w:rFonts w:ascii="Cambria" w:hAnsi="Cambria"/>
          <w:b/>
          <w:bCs/>
          <w:color w:val="000000"/>
          <w:sz w:val="26"/>
          <w:szCs w:val="26"/>
          <w:lang w:val="ro-RO"/>
        </w:rPr>
      </w:pPr>
      <w:r w:rsidRPr="004640D8">
        <w:rPr>
          <w:rFonts w:ascii="Cambria" w:hAnsi="Cambria"/>
          <w:b/>
          <w:bCs/>
          <w:color w:val="000000"/>
          <w:sz w:val="26"/>
          <w:szCs w:val="26"/>
          <w:lang w:val="ro-RO"/>
        </w:rPr>
        <w:t>EXAMEN ABSOLVIRE</w:t>
      </w:r>
    </w:p>
    <w:p w14:paraId="1569B371" w14:textId="77777777" w:rsidR="007C0E59" w:rsidRPr="004640D8" w:rsidRDefault="007C0E59" w:rsidP="003C5E86">
      <w:pPr>
        <w:autoSpaceDN w:val="0"/>
        <w:adjustRightInd w:val="0"/>
        <w:spacing w:after="0" w:line="240" w:lineRule="auto"/>
        <w:jc w:val="right"/>
        <w:rPr>
          <w:rFonts w:ascii="Cambria" w:hAnsi="Cambria"/>
          <w:b/>
          <w:bCs/>
          <w:color w:val="000000"/>
          <w:sz w:val="26"/>
          <w:szCs w:val="26"/>
          <w:lang w:val="ro-RO"/>
        </w:rPr>
      </w:pPr>
      <w:r w:rsidRPr="004640D8">
        <w:rPr>
          <w:rFonts w:ascii="Cambria" w:hAnsi="Cambria"/>
          <w:b/>
          <w:bCs/>
          <w:color w:val="000000"/>
          <w:sz w:val="26"/>
          <w:szCs w:val="26"/>
          <w:lang w:val="ro-RO"/>
        </w:rPr>
        <w:t xml:space="preserve">SESIUNEA NOIEMBRIE 2019 </w:t>
      </w:r>
    </w:p>
    <w:p w14:paraId="1315C1CE" w14:textId="77777777" w:rsidR="007C0E59" w:rsidRPr="004640D8" w:rsidRDefault="007C0E59" w:rsidP="007C0E59">
      <w:pPr>
        <w:autoSpaceDN w:val="0"/>
        <w:adjustRightInd w:val="0"/>
        <w:jc w:val="right"/>
        <w:rPr>
          <w:rFonts w:ascii="Cambria" w:hAnsi="Cambria"/>
          <w:bCs/>
          <w:color w:val="000000"/>
          <w:sz w:val="26"/>
          <w:szCs w:val="26"/>
          <w:lang w:val="ro-RO"/>
        </w:rPr>
      </w:pPr>
    </w:p>
    <w:p w14:paraId="44B8C7D0" w14:textId="77777777" w:rsidR="007C0E59" w:rsidRPr="004640D8" w:rsidRDefault="007C0E59" w:rsidP="007C0E59">
      <w:pPr>
        <w:autoSpaceDN w:val="0"/>
        <w:adjustRightInd w:val="0"/>
        <w:jc w:val="right"/>
        <w:rPr>
          <w:rFonts w:ascii="Cambria" w:hAnsi="Cambria"/>
          <w:bCs/>
          <w:sz w:val="26"/>
          <w:szCs w:val="26"/>
          <w:lang w:val="ro-RO"/>
        </w:rPr>
      </w:pPr>
    </w:p>
    <w:p w14:paraId="7FD65771" w14:textId="77777777" w:rsidR="003C5E86" w:rsidRPr="006F0BAF" w:rsidRDefault="007C0E59" w:rsidP="003C5E86">
      <w:pPr>
        <w:spacing w:after="0"/>
        <w:jc w:val="both"/>
        <w:rPr>
          <w:rFonts w:cs="Calibri"/>
          <w:b/>
          <w:i/>
          <w:sz w:val="26"/>
          <w:szCs w:val="26"/>
          <w:lang w:val="ro-RO"/>
        </w:rPr>
      </w:pPr>
      <w:r w:rsidRPr="004640D8">
        <w:rPr>
          <w:rFonts w:ascii="Cambria" w:hAnsi="Cambria" w:cs="Calibri"/>
          <w:b/>
          <w:bCs/>
          <w:i/>
          <w:sz w:val="26"/>
          <w:szCs w:val="26"/>
          <w:lang w:val="ro-RO"/>
        </w:rPr>
        <w:t xml:space="preserve">Modul: </w:t>
      </w:r>
      <w:r w:rsidR="003C5E86" w:rsidRPr="006F0BAF">
        <w:rPr>
          <w:rFonts w:cs="Calibri"/>
          <w:b/>
          <w:i/>
          <w:sz w:val="26"/>
          <w:szCs w:val="26"/>
          <w:lang w:val="ro-RO"/>
        </w:rPr>
        <w:t>Dreptul European al Muncii</w:t>
      </w:r>
    </w:p>
    <w:p w14:paraId="5CE584EF" w14:textId="77777777" w:rsidR="003C5E86" w:rsidRPr="006F0BAF" w:rsidRDefault="003C5E86" w:rsidP="003C5E86">
      <w:pPr>
        <w:spacing w:after="0"/>
        <w:jc w:val="both"/>
        <w:rPr>
          <w:rFonts w:cs="Calibri"/>
          <w:b/>
          <w:sz w:val="26"/>
          <w:szCs w:val="26"/>
          <w:lang w:val="ro-RO"/>
        </w:rPr>
      </w:pPr>
    </w:p>
    <w:p w14:paraId="6C299A77" w14:textId="77777777" w:rsidR="003C5E86" w:rsidRPr="006F0BAF" w:rsidRDefault="00A73AD9" w:rsidP="003C5E86">
      <w:pPr>
        <w:spacing w:after="0"/>
        <w:jc w:val="both"/>
        <w:rPr>
          <w:rFonts w:cs="Calibri"/>
          <w:b/>
          <w:i/>
          <w:sz w:val="26"/>
          <w:szCs w:val="26"/>
          <w:u w:val="single"/>
          <w:lang w:val="ro-RO"/>
        </w:rPr>
      </w:pPr>
      <w:r w:rsidRPr="006F0BAF">
        <w:rPr>
          <w:rFonts w:cs="Calibri"/>
          <w:b/>
          <w:i/>
          <w:sz w:val="26"/>
          <w:szCs w:val="26"/>
          <w:u w:val="single"/>
          <w:lang w:val="ro-RO"/>
        </w:rPr>
        <w:t>Speța</w:t>
      </w:r>
      <w:r w:rsidR="003C5E86" w:rsidRPr="006F0BAF">
        <w:rPr>
          <w:rFonts w:cs="Calibri"/>
          <w:b/>
          <w:i/>
          <w:sz w:val="26"/>
          <w:szCs w:val="26"/>
          <w:u w:val="single"/>
          <w:lang w:val="ro-RO"/>
        </w:rPr>
        <w:t xml:space="preserve"> 1 – Protecția lucrătorilor în cazul insolvenței angajatorului</w:t>
      </w:r>
    </w:p>
    <w:p w14:paraId="1317B8AD"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Domnul Lex a lucrat între 18 mai 2013 și 14 ianuarie 2018 pentru societatea Mundi.</w:t>
      </w:r>
    </w:p>
    <w:p w14:paraId="101478A0"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Prin hotărârea din 15 mai 2018, Tribunalul a obligat societatea Mundi să plătească domnului Lex unele creanțe corespunzătoare remunerației nete pentru concediul plătit efectuat în lunile decembrie 2018, ianuarie 2019 și februarie 2018, precum și unei indemnizații pentru încetarea contractului fără preaviz, fiecare dintre aceste creanțe fiind purtătoare de dobânzi legale.</w:t>
      </w:r>
    </w:p>
    <w:p w14:paraId="7C64594E"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Prin hotărârea din 23 mai 2018, Tribunalul a deschis o procedură de reorganizare judiciară a societății Mundi și a declarat falimentul acesteia. În aceeași zi, această hotărâre a fost înscrisă în registrul comerțului.</w:t>
      </w:r>
    </w:p>
    <w:p w14:paraId="30C2F49B"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La 1 octombrie 2018, domnul Lex a solicitat Fondului de garantare plata creanțelor corespunzătoare salariilor neachitate de societatea Mundi. Această cerere era întemeiată pe Legea privind protecția creanțelor salariaților, pe hotărârea Tribunalului din 23 mai 2018, precum și pe mandatul de executare emis în temeiul acestei hotărâri. Întrucât Fondul de garantare nu a răspuns în termenul legal, domnul Lex a contestat acest refuz tacit în instanță.</w:t>
      </w:r>
    </w:p>
    <w:p w14:paraId="422EAE1B"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În cele din urmă, prin decizia din 13 decembrie 2018, Fondul de garantare a respins în mod explicit cererea domnului Lex, în temeiul articolului 4 alineatul 1 punctul 2 și al articolului 25 din Legea privind protecția creanțelor salariaților. Domnul Lex a introdus o acțiune împotriva deciziei respective.</w:t>
      </w:r>
    </w:p>
    <w:p w14:paraId="13DA2CCF"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Prin hotărârea din 7 februarie 2019, instanța a respins cele două acțiuni ale domnului Lex, considerând, pe de o parte, că nu erau îndeplinite condițiile referitoare la încetarea contractului de muncă prevăzute la articolul 4 alineatul 1 din Legea privind protecția creanțelor salariaților și, pe de altă parte, că din Hotărârea din 18 aprilie 2013, Mustafa (C</w:t>
      </w:r>
      <w:r w:rsidRPr="006F0BAF">
        <w:rPr>
          <w:rFonts w:ascii="Cambria Math" w:hAnsi="Cambria Math" w:cs="Cambria Math"/>
          <w:iCs/>
          <w:sz w:val="26"/>
          <w:szCs w:val="26"/>
        </w:rPr>
        <w:t>‑</w:t>
      </w:r>
      <w:r w:rsidRPr="006F0BAF">
        <w:rPr>
          <w:rFonts w:ascii="Calibri" w:hAnsi="Calibri" w:cs="Calibri"/>
          <w:iCs/>
          <w:sz w:val="26"/>
          <w:szCs w:val="26"/>
        </w:rPr>
        <w:t>247/12, EU:C:2013:256), rezulta că, în temeiul dreptului Uniunii, statele membre pot prevedea un termen de trei luni, precum cel în discuție în litigiul principal, fără a restrânge în mod nejustificat domeniul de aplicare al Directivei 2008/94.</w:t>
      </w:r>
    </w:p>
    <w:p w14:paraId="33F5C35D"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Domnul Lex a declarat recurs împotriva acestei hotărâri la Curtea Supremă, instanța de trimitere.</w:t>
      </w:r>
    </w:p>
    <w:p w14:paraId="7654892B"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 xml:space="preserve">Această instanță arată că litigiul principal ridică problema dacă, în împrejurări precum cele din procedura principală, articolul 4 alineatul 1 din Legea privind protecția creanțelor salariaților nu privează de efectul lor deplin articolele 151 și 153 TFUE, precum și dispozițiile Directivei 2008/94, </w:t>
      </w:r>
      <w:r w:rsidRPr="006F0BAF">
        <w:rPr>
          <w:rFonts w:ascii="Calibri" w:hAnsi="Calibri" w:cs="Calibri"/>
          <w:iCs/>
          <w:sz w:val="26"/>
          <w:szCs w:val="26"/>
        </w:rPr>
        <w:lastRenderedPageBreak/>
        <w:t>în măsura în care s</w:t>
      </w:r>
      <w:r w:rsidRPr="006F0BAF">
        <w:rPr>
          <w:rFonts w:ascii="Cambria Math" w:hAnsi="Cambria Math" w:cs="Cambria Math"/>
          <w:iCs/>
          <w:sz w:val="26"/>
          <w:szCs w:val="26"/>
        </w:rPr>
        <w:t>‑</w:t>
      </w:r>
      <w:r w:rsidRPr="006F0BAF">
        <w:rPr>
          <w:rFonts w:ascii="Calibri" w:hAnsi="Calibri" w:cs="Calibri"/>
          <w:iCs/>
          <w:sz w:val="26"/>
          <w:szCs w:val="26"/>
        </w:rPr>
        <w:t>ar putea considera că această dispoziție națională se opune ca un lucrător salariat titular al unor creanțe garantate să poată beneficia de o protecție minimă.</w:t>
      </w:r>
    </w:p>
    <w:p w14:paraId="241F3447"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Instanța de trimitere ridică mai exact problema dacă dreptul Uniunii permite adoptarea unei dispoziții precum articolul 4 alineatul 1 din Legea privind protecția creanțelor salariaților, care exclude de la beneficiul protecției minime a creanțelor salariale, atunci când angajatorul este declarat în stare de faliment, creanțele care decurg dintr</w:t>
      </w:r>
      <w:r w:rsidRPr="006F0BAF">
        <w:rPr>
          <w:rFonts w:ascii="Cambria Math" w:hAnsi="Cambria Math" w:cs="Cambria Math"/>
          <w:iCs/>
          <w:sz w:val="26"/>
          <w:szCs w:val="26"/>
        </w:rPr>
        <w:t>‑</w:t>
      </w:r>
      <w:r w:rsidRPr="006F0BAF">
        <w:rPr>
          <w:rFonts w:ascii="Calibri" w:hAnsi="Calibri" w:cs="Calibri"/>
          <w:iCs/>
          <w:sz w:val="26"/>
          <w:szCs w:val="26"/>
        </w:rPr>
        <w:t>un raport de muncă ce a încetat de mai mult de trei luni, iar aceasta în mod automat și absolut. Instanța de trimitere subliniază că Directiva 2008/94 nu prevede posibilitatea de a restrânge categoria persoanelor care au calitatea de lucrători salariați și care dețin creanțe salariale neachitate împotriva angajatorului în faliment, cu excepția categoriei specifice a persoanelor excluse de la protecție în temeiul prezumției prevăzute de această directivă.</w:t>
      </w:r>
    </w:p>
    <w:p w14:paraId="5C2552CB"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Instanța de trimitere ridică în plus problema compatibilității articolului 25 din Legea privind protecția creanțelor salariaților cu dispozițiile Directivei 2008/94, precum și cu principiile proporționalității și efectivității, ca urmare a faptului că această dispoziție se aplică în mod automat și fără nicio posibilitate de a aprecia împrejurările specifice ale fiecărei spețe.</w:t>
      </w:r>
    </w:p>
    <w:p w14:paraId="1EE62F22" w14:textId="77777777" w:rsidR="003C5E86" w:rsidRPr="006F0BAF" w:rsidRDefault="003C5E86" w:rsidP="003C5E86">
      <w:pPr>
        <w:pStyle w:val="c02alineaalta"/>
        <w:shd w:val="clear" w:color="auto" w:fill="FFFFFF"/>
        <w:spacing w:after="240"/>
        <w:jc w:val="both"/>
        <w:rPr>
          <w:rFonts w:ascii="Calibri" w:hAnsi="Calibri" w:cs="Calibri"/>
          <w:iCs/>
          <w:sz w:val="26"/>
          <w:szCs w:val="26"/>
        </w:rPr>
      </w:pPr>
      <w:r w:rsidRPr="006F0BAF">
        <w:rPr>
          <w:rFonts w:ascii="Calibri" w:hAnsi="Calibri" w:cs="Calibri"/>
          <w:iCs/>
          <w:sz w:val="26"/>
          <w:szCs w:val="26"/>
        </w:rPr>
        <w:t>În aceste condiții, instanța națională a hotărât să suspende judecarea cauzei și să adreseze Curții următoarele întrebări preliminare:</w:t>
      </w:r>
    </w:p>
    <w:p w14:paraId="7FAAE8B7" w14:textId="77777777" w:rsidR="003C5E86" w:rsidRPr="006F0BAF" w:rsidRDefault="003C5E86" w:rsidP="003C5E86">
      <w:pPr>
        <w:pStyle w:val="c02alineaalta"/>
        <w:shd w:val="clear" w:color="auto" w:fill="FFFFFF"/>
        <w:spacing w:after="240"/>
        <w:jc w:val="both"/>
        <w:rPr>
          <w:rFonts w:ascii="Calibri" w:hAnsi="Calibri" w:cs="Calibri"/>
          <w:i/>
          <w:sz w:val="26"/>
          <w:szCs w:val="26"/>
        </w:rPr>
      </w:pPr>
      <w:r w:rsidRPr="006F0BAF">
        <w:rPr>
          <w:rFonts w:ascii="Calibri" w:hAnsi="Calibri" w:cs="Calibri"/>
          <w:i/>
          <w:sz w:val="26"/>
          <w:szCs w:val="26"/>
        </w:rPr>
        <w:t>„1)      Articolele 151 și 153 TFUE, precum și Directiva 2008/94 trebuie interpretate în sensul că nu se opun unei dispoziții naționale precum articolul 4 alineatul 1 din Legea privind garantarea creanțelor lucrătorilor salariați, potrivit căreia sunt excluse de la protecția creanțelor salariale exigibile persoanele al căror raport de muncă a încetat înainte să înceapă să curgă termenul de trei luni anterior transcrierii în Registrul Comerțului a hotărârii privind deschiderea unei proceduri de reorganizare judiciară în privința angajatorului?</w:t>
      </w:r>
    </w:p>
    <w:p w14:paraId="5AAEAB9D" w14:textId="77777777" w:rsidR="003C5E86" w:rsidRPr="006F0BAF" w:rsidRDefault="003C5E86" w:rsidP="003C5E86">
      <w:pPr>
        <w:pStyle w:val="c02alineaalta"/>
        <w:shd w:val="clear" w:color="auto" w:fill="FFFFFF"/>
        <w:spacing w:after="240"/>
        <w:jc w:val="both"/>
        <w:rPr>
          <w:rFonts w:ascii="Calibri" w:hAnsi="Calibri" w:cs="Calibri"/>
          <w:i/>
          <w:sz w:val="26"/>
          <w:szCs w:val="26"/>
        </w:rPr>
      </w:pPr>
      <w:r w:rsidRPr="006F0BAF">
        <w:rPr>
          <w:rFonts w:ascii="Calibri" w:hAnsi="Calibri" w:cs="Calibri"/>
          <w:i/>
          <w:sz w:val="26"/>
          <w:szCs w:val="26"/>
        </w:rPr>
        <w:t>2)      Dispozițiile Directivei 2008/94, coroborate cu principiul proporționalității, trebuie interpretate în sensul că nu se opun unei norme naționale precum articolul 25 din Legea privind garantarea creanțelor lucrătorilor salariați, potrivit căreia drepturile la invocarea și la plata creanțelor garantate se sting automat și fără posibilitatea unei aprecieri a împrejurărilor individuale din fiecare speță la împlinirea termenului de două luni de la data înscrierii hotărârii privind deschiderea procedurii de reorganizare judiciară?”</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4"/>
      </w:tblGrid>
      <w:tr w:rsidR="003C5E86" w:rsidRPr="006F0BAF" w14:paraId="1EB45040" w14:textId="77777777" w:rsidTr="00D14717">
        <w:tc>
          <w:tcPr>
            <w:tcW w:w="9824" w:type="dxa"/>
            <w:shd w:val="clear" w:color="auto" w:fill="auto"/>
          </w:tcPr>
          <w:p w14:paraId="79FA9F0B" w14:textId="77777777" w:rsidR="003C5E86" w:rsidRPr="00D14717" w:rsidRDefault="003C5E86" w:rsidP="00D14717">
            <w:pPr>
              <w:pStyle w:val="c02alineaalta"/>
              <w:shd w:val="clear" w:color="auto" w:fill="FFFFFF"/>
              <w:spacing w:before="0" w:beforeAutospacing="0" w:after="240" w:afterAutospacing="0"/>
              <w:jc w:val="both"/>
              <w:rPr>
                <w:rFonts w:ascii="Calibri" w:hAnsi="Calibri" w:cs="Calibri"/>
                <w:sz w:val="26"/>
                <w:szCs w:val="26"/>
              </w:rPr>
            </w:pPr>
            <w:r w:rsidRPr="00D14717">
              <w:rPr>
                <w:rFonts w:ascii="Calibri" w:hAnsi="Calibri" w:cs="Calibri"/>
                <w:b/>
                <w:sz w:val="26"/>
                <w:szCs w:val="26"/>
              </w:rPr>
              <w:t>Potrivit reglementărilor naționale</w:t>
            </w:r>
            <w:r w:rsidRPr="00D14717">
              <w:rPr>
                <w:rFonts w:ascii="Calibri" w:hAnsi="Calibri" w:cs="Calibri"/>
                <w:sz w:val="26"/>
                <w:szCs w:val="26"/>
              </w:rPr>
              <w:t>:</w:t>
            </w:r>
          </w:p>
        </w:tc>
      </w:tr>
    </w:tbl>
    <w:p w14:paraId="0677666B" w14:textId="77777777" w:rsidR="003C5E86" w:rsidRPr="006F0BAF" w:rsidRDefault="003C5E86" w:rsidP="003C5E86">
      <w:pPr>
        <w:pStyle w:val="c02alineaalta"/>
        <w:shd w:val="clear" w:color="auto" w:fill="E7E6E6"/>
        <w:ind w:firstLine="567"/>
        <w:jc w:val="both"/>
        <w:rPr>
          <w:rFonts w:ascii="Calibri" w:hAnsi="Calibri" w:cs="Calibri"/>
          <w:sz w:val="26"/>
          <w:szCs w:val="26"/>
        </w:rPr>
      </w:pPr>
      <w:r w:rsidRPr="006F0BAF">
        <w:rPr>
          <w:rFonts w:ascii="Calibri" w:hAnsi="Calibri" w:cs="Calibri"/>
          <w:sz w:val="26"/>
          <w:szCs w:val="26"/>
        </w:rPr>
        <w:t>Legea privind protecția creanțelor salariaților:</w:t>
      </w:r>
    </w:p>
    <w:p w14:paraId="2DA0CF12"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b/>
          <w:sz w:val="26"/>
          <w:szCs w:val="26"/>
        </w:rPr>
        <w:t>Articolul 4</w:t>
      </w:r>
      <w:r w:rsidRPr="006F0BAF">
        <w:rPr>
          <w:rFonts w:ascii="Calibri" w:hAnsi="Calibri" w:cs="Calibri"/>
          <w:b/>
          <w:bCs/>
          <w:sz w:val="26"/>
          <w:szCs w:val="26"/>
        </w:rPr>
        <w:t xml:space="preserve"> alin. (1)</w:t>
      </w:r>
      <w:r w:rsidRPr="006F0BAF">
        <w:rPr>
          <w:rFonts w:ascii="Calibri" w:hAnsi="Calibri" w:cs="Calibri"/>
          <w:sz w:val="26"/>
          <w:szCs w:val="26"/>
        </w:rPr>
        <w:t xml:space="preserve"> - „Lucrătorii care au avut sau care au un raport de muncă cu angajatorul prevăzut la articolul 2 pot solicita plata creanțelor garantate în sensul prezentei legi, indiferent care este sau care a fost durata și programul raportului de muncă menționat, în măsura în care acesta:</w:t>
      </w:r>
    </w:p>
    <w:p w14:paraId="0D34A1DC"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sz w:val="26"/>
          <w:szCs w:val="26"/>
        </w:rPr>
        <w:t>1.      nu a încetat la data transcrierii în registrul comerțului a hotărârii vizate la articolul 6;</w:t>
      </w:r>
    </w:p>
    <w:p w14:paraId="373230DE"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sz w:val="26"/>
          <w:szCs w:val="26"/>
        </w:rPr>
        <w:lastRenderedPageBreak/>
        <w:t xml:space="preserve">2.    a încetat în cursul celor </w:t>
      </w:r>
      <w:r w:rsidRPr="006F0BAF">
        <w:rPr>
          <w:rFonts w:ascii="Calibri" w:hAnsi="Calibri" w:cs="Calibri"/>
          <w:sz w:val="26"/>
          <w:szCs w:val="26"/>
          <w:u w:val="single"/>
        </w:rPr>
        <w:t>trei luni</w:t>
      </w:r>
      <w:r w:rsidRPr="006F0BAF">
        <w:rPr>
          <w:rFonts w:ascii="Calibri" w:hAnsi="Calibri" w:cs="Calibri"/>
          <w:sz w:val="26"/>
          <w:szCs w:val="26"/>
        </w:rPr>
        <w:t xml:space="preserve"> care precedă transcrierea în registrul comerțului a hotărârii vizate la articolul 6.”</w:t>
      </w:r>
    </w:p>
    <w:p w14:paraId="1B89741E"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b/>
          <w:sz w:val="26"/>
          <w:szCs w:val="26"/>
        </w:rPr>
        <w:t>Articolul 6</w:t>
      </w:r>
      <w:r w:rsidRPr="006F0BAF">
        <w:rPr>
          <w:rFonts w:ascii="Calibri" w:hAnsi="Calibri" w:cs="Calibri"/>
          <w:sz w:val="26"/>
          <w:szCs w:val="26"/>
        </w:rPr>
        <w:t xml:space="preserve"> </w:t>
      </w:r>
      <w:r w:rsidRPr="006F0BAF">
        <w:rPr>
          <w:rFonts w:ascii="Calibri" w:hAnsi="Calibri" w:cs="Calibri"/>
          <w:b/>
          <w:sz w:val="26"/>
          <w:szCs w:val="26"/>
        </w:rPr>
        <w:t xml:space="preserve">– </w:t>
      </w:r>
      <w:r w:rsidRPr="006F0BAF">
        <w:rPr>
          <w:rFonts w:ascii="Calibri" w:hAnsi="Calibri" w:cs="Calibri"/>
          <w:bCs/>
          <w:sz w:val="26"/>
          <w:szCs w:val="26"/>
        </w:rPr>
        <w:t>„</w:t>
      </w:r>
      <w:r w:rsidRPr="006F0BAF">
        <w:rPr>
          <w:rFonts w:ascii="Calibri" w:hAnsi="Calibri" w:cs="Calibri"/>
          <w:sz w:val="26"/>
          <w:szCs w:val="26"/>
        </w:rPr>
        <w:t>Dreptul lucrătorilor la creanțele garantate, prevăzut la articolul 4 alineatul 1, ia naștere la data transcrierii în registrul comerțului a hotărârii:</w:t>
      </w:r>
    </w:p>
    <w:p w14:paraId="0338509C"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sz w:val="26"/>
          <w:szCs w:val="26"/>
        </w:rPr>
        <w:t>1.      de deschidere a procedurii de reorganizare judiciară;</w:t>
      </w:r>
    </w:p>
    <w:p w14:paraId="22791C82"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sz w:val="26"/>
          <w:szCs w:val="26"/>
        </w:rPr>
        <w:t>2.      de deschidere a procedurii de reorganizare judiciară și de pronunțare simultană a falimentului;</w:t>
      </w:r>
    </w:p>
    <w:p w14:paraId="1B4764AC"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sz w:val="26"/>
          <w:szCs w:val="26"/>
        </w:rPr>
        <w:t>3.      de deschidere a procedurii de reorganizare judiciară, de constatare a încetării activităților întreprinderii, de pronunțare a falimentului debitorului și de suspendare a procedurii de reorganizare judiciară pentru active insuficiente în vederea preluării cheltuielilor.”</w:t>
      </w:r>
    </w:p>
    <w:p w14:paraId="1CEDE2DE" w14:textId="77777777" w:rsidR="003C5E86" w:rsidRPr="006F0BAF" w:rsidRDefault="003C5E86" w:rsidP="003C5E86">
      <w:pPr>
        <w:pStyle w:val="c02alineaalta"/>
        <w:shd w:val="clear" w:color="auto" w:fill="FFFFFF"/>
        <w:ind w:firstLine="567"/>
        <w:jc w:val="both"/>
        <w:rPr>
          <w:rFonts w:ascii="Calibri" w:hAnsi="Calibri" w:cs="Calibri"/>
          <w:sz w:val="26"/>
          <w:szCs w:val="26"/>
        </w:rPr>
      </w:pPr>
      <w:r w:rsidRPr="006F0BAF">
        <w:rPr>
          <w:rFonts w:ascii="Calibri" w:hAnsi="Calibri" w:cs="Calibri"/>
          <w:b/>
          <w:sz w:val="26"/>
          <w:szCs w:val="26"/>
        </w:rPr>
        <w:t>Articolul 25</w:t>
      </w:r>
      <w:r w:rsidRPr="006F0BAF">
        <w:rPr>
          <w:rFonts w:ascii="Calibri" w:hAnsi="Calibri" w:cs="Calibri"/>
          <w:sz w:val="26"/>
          <w:szCs w:val="26"/>
        </w:rPr>
        <w:t xml:space="preserve"> – „Creanțele garantate în sensul prezentei legi sunt acordate pe baza unei declarații completate în conformitate cu modelul prevăzut în acest scop, transmis de lucrător către oficiul local al Institutului Național de Securitate Socială cel mai apropiat de sediul angajatorului în termen de două luni de la data transcrierii hotărârii vizate la articolul 6 sau de la data la care lucrătorii au fost informați de angajator în legătură cu deschiderea unei proceduri de reorganizare judiciară în conformitate cu legislația unui alt stat”.</w:t>
      </w:r>
    </w:p>
    <w:p w14:paraId="6D2523F4" w14:textId="77777777" w:rsidR="003C5E86" w:rsidRPr="006F0BAF" w:rsidRDefault="003C5E86" w:rsidP="003C5E86">
      <w:pPr>
        <w:pStyle w:val="ListParagraph"/>
        <w:spacing w:after="0"/>
        <w:ind w:left="0" w:firstLine="720"/>
        <w:jc w:val="both"/>
        <w:rPr>
          <w:rFonts w:cs="Calibri"/>
          <w:b/>
          <w:i/>
          <w:sz w:val="26"/>
          <w:szCs w:val="26"/>
          <w:u w:val="single"/>
          <w:lang w:val="ro-RO"/>
        </w:rPr>
      </w:pPr>
      <w:r w:rsidRPr="006F0BAF">
        <w:rPr>
          <w:rFonts w:cs="Calibri"/>
          <w:b/>
          <w:i/>
          <w:sz w:val="26"/>
          <w:szCs w:val="26"/>
          <w:u w:val="single"/>
          <w:lang w:val="ro-RO"/>
        </w:rPr>
        <w:t>Lucrarea profesională nr. 1:</w:t>
      </w:r>
    </w:p>
    <w:p w14:paraId="44E14884" w14:textId="77777777" w:rsidR="003C5E86" w:rsidRPr="006F0BAF" w:rsidRDefault="003C5E86" w:rsidP="003C5E86">
      <w:pPr>
        <w:pStyle w:val="ListParagraph"/>
        <w:spacing w:after="0"/>
        <w:ind w:left="0" w:firstLine="720"/>
        <w:jc w:val="both"/>
        <w:rPr>
          <w:rFonts w:cs="Calibri"/>
          <w:b/>
          <w:i/>
          <w:sz w:val="26"/>
          <w:szCs w:val="26"/>
          <w:lang w:val="ro-RO"/>
        </w:rPr>
      </w:pPr>
      <w:r w:rsidRPr="006F0BAF">
        <w:rPr>
          <w:rFonts w:cs="Calibri"/>
          <w:b/>
          <w:i/>
          <w:sz w:val="26"/>
          <w:szCs w:val="26"/>
          <w:lang w:val="ro-RO"/>
        </w:rPr>
        <w:t>Identificați prevederile Directivei 2008/94 ce se impun a fi analizate în vederea soluționării întrebărilor preliminare. Motivați.</w:t>
      </w:r>
    </w:p>
    <w:p w14:paraId="11A7D9FB" w14:textId="77777777" w:rsidR="003C5E86" w:rsidRPr="006F0BAF" w:rsidRDefault="003C5E86" w:rsidP="003C5E86">
      <w:pPr>
        <w:pStyle w:val="ListParagraph"/>
        <w:spacing w:after="0"/>
        <w:ind w:left="0" w:firstLine="720"/>
        <w:jc w:val="both"/>
        <w:rPr>
          <w:rFonts w:cs="Calibri"/>
          <w:b/>
          <w:i/>
          <w:sz w:val="26"/>
          <w:szCs w:val="26"/>
          <w:lang w:val="ro-RO"/>
        </w:rPr>
      </w:pPr>
    </w:p>
    <w:p w14:paraId="6F62267B" w14:textId="77777777" w:rsidR="003C5E86" w:rsidRPr="006F0BAF" w:rsidRDefault="003C5E86" w:rsidP="003C5E86">
      <w:pPr>
        <w:pStyle w:val="ListParagraph"/>
        <w:spacing w:after="0"/>
        <w:ind w:left="0" w:firstLine="720"/>
        <w:jc w:val="both"/>
        <w:rPr>
          <w:rFonts w:cs="Calibri"/>
          <w:b/>
          <w:i/>
          <w:sz w:val="26"/>
          <w:szCs w:val="26"/>
          <w:u w:val="single"/>
          <w:lang w:val="ro-RO"/>
        </w:rPr>
      </w:pPr>
      <w:r w:rsidRPr="006F0BAF">
        <w:rPr>
          <w:rFonts w:cs="Calibri"/>
          <w:b/>
          <w:i/>
          <w:sz w:val="26"/>
          <w:szCs w:val="26"/>
          <w:u w:val="single"/>
          <w:lang w:val="ro-RO"/>
        </w:rPr>
        <w:t>Lucrarea profesională nr. 2:</w:t>
      </w:r>
    </w:p>
    <w:p w14:paraId="236B34A5" w14:textId="77777777" w:rsidR="003C5E86" w:rsidRPr="006F0BAF" w:rsidRDefault="003C5E86" w:rsidP="003C5E86">
      <w:pPr>
        <w:pStyle w:val="ListParagraph"/>
        <w:spacing w:after="0"/>
        <w:ind w:left="0" w:firstLine="720"/>
        <w:jc w:val="both"/>
        <w:rPr>
          <w:rFonts w:cs="Calibri"/>
          <w:b/>
          <w:i/>
          <w:sz w:val="26"/>
          <w:szCs w:val="26"/>
          <w:u w:val="single"/>
          <w:lang w:val="ro-RO"/>
        </w:rPr>
      </w:pPr>
      <w:r w:rsidRPr="006F0BAF">
        <w:rPr>
          <w:rFonts w:cs="Calibri"/>
          <w:b/>
          <w:i/>
          <w:sz w:val="26"/>
          <w:szCs w:val="26"/>
          <w:lang w:val="ro-RO"/>
        </w:rPr>
        <w:t>Arătați care va fi soluția CJUE în cauza prezentată mai sus. Motivați.</w:t>
      </w:r>
      <w:r w:rsidRPr="006F0BAF">
        <w:rPr>
          <w:rFonts w:cs="Calibri"/>
          <w:b/>
          <w:i/>
          <w:sz w:val="26"/>
          <w:szCs w:val="26"/>
          <w:u w:val="single"/>
          <w:lang w:val="ro-RO"/>
        </w:rPr>
        <w:br w:type="page"/>
      </w:r>
    </w:p>
    <w:p w14:paraId="62CF7070" w14:textId="77777777" w:rsidR="003C5E86" w:rsidRPr="006F0BAF" w:rsidRDefault="003C5E86" w:rsidP="003C5E86">
      <w:pPr>
        <w:jc w:val="both"/>
        <w:rPr>
          <w:rFonts w:cs="Calibri"/>
          <w:b/>
          <w:i/>
          <w:sz w:val="26"/>
          <w:szCs w:val="26"/>
          <w:u w:val="single"/>
          <w:lang w:val="ro-RO"/>
        </w:rPr>
      </w:pPr>
      <w:r w:rsidRPr="006F0BAF">
        <w:rPr>
          <w:rFonts w:cs="Calibri"/>
          <w:b/>
          <w:i/>
          <w:sz w:val="26"/>
          <w:szCs w:val="26"/>
          <w:u w:val="single"/>
          <w:lang w:val="ro-RO"/>
        </w:rPr>
        <w:t>Speța 2 – Protecția lucrătoarelor gravide în contextul concedierii colective</w:t>
      </w:r>
    </w:p>
    <w:p w14:paraId="4B195200" w14:textId="77777777" w:rsidR="003C5E86" w:rsidRPr="006F0BAF" w:rsidRDefault="003C5E86" w:rsidP="003C5E86">
      <w:pPr>
        <w:pStyle w:val="c02alineaalta"/>
        <w:shd w:val="clear" w:color="auto" w:fill="FFFFFF"/>
        <w:spacing w:after="240"/>
        <w:jc w:val="both"/>
        <w:rPr>
          <w:rFonts w:ascii="Calibri" w:hAnsi="Calibri" w:cs="Calibri"/>
          <w:sz w:val="26"/>
          <w:szCs w:val="26"/>
        </w:rPr>
      </w:pPr>
      <w:r w:rsidRPr="006F0BAF">
        <w:rPr>
          <w:rFonts w:ascii="Calibri" w:hAnsi="Calibri" w:cs="Calibri"/>
          <w:sz w:val="26"/>
          <w:szCs w:val="26"/>
        </w:rPr>
        <w:t>La 10 mai 2007, doamna Mutter a fost angajată de societatea Chico.</w:t>
      </w:r>
    </w:p>
    <w:p w14:paraId="256BB79F"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La 11 februarie 2012, angajatorul Chico a lansat o perioadă de consultare a reprezentanților lucrătorilor în vederea efectuării unei concedieri colective. La 15 martie 2012, grupul special de negociere, constituit potrivit legislației naționale, a ajuns la un acord privind în special concedierea colectivă care urma a fi efectuată, modificarea condițiilor de muncă, precum și mobilitatea funcțională și geografică (denumit în continuare „</w:t>
      </w:r>
      <w:r w:rsidRPr="006F0BAF">
        <w:rPr>
          <w:rFonts w:ascii="Calibri" w:hAnsi="Calibri" w:cs="Calibri"/>
          <w:b/>
          <w:bCs/>
          <w:sz w:val="26"/>
          <w:szCs w:val="26"/>
        </w:rPr>
        <w:t>Acordul din 15 martie 2012</w:t>
      </w:r>
      <w:r w:rsidRPr="006F0BAF">
        <w:rPr>
          <w:rFonts w:ascii="Calibri" w:hAnsi="Calibri" w:cs="Calibri"/>
          <w:sz w:val="26"/>
          <w:szCs w:val="26"/>
        </w:rPr>
        <w:t>”).</w:t>
      </w:r>
    </w:p>
    <w:p w14:paraId="30701EA3"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Potrivit Acordului din 15 martie 2012, criteriile care urmează a fi luate în considerare pentru determinarea persoanelor vizate de deciziile de concediere luate direct de întreprindere sunt următoarele:</w:t>
      </w:r>
    </w:p>
    <w:p w14:paraId="58541ED1" w14:textId="77777777" w:rsidR="003C5E86" w:rsidRPr="006F0BAF" w:rsidRDefault="003C5E86" w:rsidP="003C5E86">
      <w:pPr>
        <w:pStyle w:val="c01pointnumerotealtn"/>
        <w:shd w:val="clear" w:color="auto" w:fill="FFFFFF"/>
        <w:spacing w:after="0"/>
        <w:ind w:left="28" w:firstLine="539"/>
        <w:rPr>
          <w:rFonts w:ascii="Calibri" w:hAnsi="Calibri" w:cs="Calibri"/>
          <w:i/>
          <w:iCs/>
          <w:sz w:val="26"/>
          <w:szCs w:val="26"/>
        </w:rPr>
      </w:pPr>
      <w:r w:rsidRPr="006F0BAF">
        <w:rPr>
          <w:rFonts w:ascii="Calibri" w:hAnsi="Calibri" w:cs="Calibri"/>
          <w:sz w:val="26"/>
          <w:szCs w:val="26"/>
        </w:rPr>
        <w:t>„1</w:t>
      </w:r>
      <w:r w:rsidRPr="006F0BAF">
        <w:rPr>
          <w:rFonts w:ascii="Calibri" w:hAnsi="Calibri" w:cs="Calibri"/>
          <w:i/>
          <w:iCs/>
          <w:sz w:val="26"/>
          <w:szCs w:val="26"/>
        </w:rPr>
        <w:t>)      Sectorul de aplicare va fi provincia sau grupurile ori unitățile funcționale ale serviciilor centrale în care sunt angajați lucrătorii.</w:t>
      </w:r>
    </w:p>
    <w:p w14:paraId="2E2F1C55" w14:textId="77777777" w:rsidR="003C5E86" w:rsidRPr="006F0BAF" w:rsidRDefault="003C5E86" w:rsidP="003C5E86">
      <w:pPr>
        <w:pStyle w:val="c01pointnumerotealtn"/>
        <w:shd w:val="clear" w:color="auto" w:fill="FFFFFF"/>
        <w:spacing w:after="0"/>
        <w:ind w:left="28" w:firstLine="539"/>
        <w:rPr>
          <w:rFonts w:ascii="Calibri" w:hAnsi="Calibri" w:cs="Calibri"/>
          <w:sz w:val="26"/>
          <w:szCs w:val="26"/>
        </w:rPr>
      </w:pPr>
      <w:r w:rsidRPr="006F0BAF">
        <w:rPr>
          <w:rFonts w:ascii="Calibri" w:hAnsi="Calibri" w:cs="Calibri"/>
          <w:i/>
          <w:iCs/>
          <w:sz w:val="26"/>
          <w:szCs w:val="26"/>
        </w:rPr>
        <w:t>2)      În acest sens, odată deduse locuri[le] de muncă pe care întreprinderea decide să le desființeze ca urmare a procedurii de aderare [la programul de plecări indemnizate] și odată scăzute persoanele vizate de procedurile de mobilitate geografică și de redistribuire pentru a acoperi nevoile generate de plecările voluntare ale angajaților […], întreprinderea va desemna persoanele vizate de concedierea colectivă în sectorul de aplicare corespunzător, ținând seama de nota care rezultă din procedurile de evaluare realizate de întreprindere cu privire la competențe și la indicatorii de potențial.</w:t>
      </w:r>
      <w:r w:rsidRPr="006F0BAF">
        <w:rPr>
          <w:rFonts w:ascii="Calibri" w:hAnsi="Calibri" w:cs="Calibri"/>
          <w:sz w:val="26"/>
          <w:szCs w:val="26"/>
        </w:rPr>
        <w:t>”</w:t>
      </w:r>
    </w:p>
    <w:p w14:paraId="605EABA3"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Același Acord menționează criterii care stabilesc o prioritate la menținerea locurilor de muncă, și anume:</w:t>
      </w:r>
    </w:p>
    <w:p w14:paraId="2AEB8659" w14:textId="77777777" w:rsidR="003C5E86" w:rsidRPr="006F0BAF" w:rsidRDefault="003C5E86" w:rsidP="003C5E86">
      <w:pPr>
        <w:pStyle w:val="c01pointnumerotealtn"/>
        <w:shd w:val="clear" w:color="auto" w:fill="FFFFFF"/>
        <w:spacing w:after="0"/>
        <w:ind w:left="28" w:firstLine="539"/>
        <w:rPr>
          <w:rFonts w:ascii="Calibri" w:hAnsi="Calibri" w:cs="Calibri"/>
          <w:i/>
          <w:iCs/>
          <w:sz w:val="26"/>
          <w:szCs w:val="26"/>
        </w:rPr>
      </w:pPr>
      <w:r w:rsidRPr="006F0BAF">
        <w:rPr>
          <w:rFonts w:ascii="Calibri" w:hAnsi="Calibri" w:cs="Calibri"/>
          <w:sz w:val="26"/>
          <w:szCs w:val="26"/>
        </w:rPr>
        <w:t>„</w:t>
      </w:r>
      <w:r w:rsidRPr="006F0BAF">
        <w:rPr>
          <w:rFonts w:ascii="Calibri" w:hAnsi="Calibri" w:cs="Calibri"/>
          <w:i/>
          <w:iCs/>
          <w:sz w:val="26"/>
          <w:szCs w:val="26"/>
        </w:rPr>
        <w:t>1)      În caz de căsătorie sau de conviețuire de fapt între două persoane, poate fi vizată doar una dintre acestea, în funcție de alegerea lor, în conformitate cu nevoile funcționale și cu profilurile cerute, o mutare geografică putând fi necesară pentru îndeplinirea acestei condiții.</w:t>
      </w:r>
    </w:p>
    <w:p w14:paraId="288DE105" w14:textId="77777777" w:rsidR="003C5E86" w:rsidRPr="006F0BAF" w:rsidRDefault="003C5E86" w:rsidP="003C5E86">
      <w:pPr>
        <w:pStyle w:val="c01pointnumerotealtn"/>
        <w:shd w:val="clear" w:color="auto" w:fill="FFFFFF"/>
        <w:spacing w:after="0"/>
        <w:ind w:left="28" w:firstLine="539"/>
        <w:rPr>
          <w:rFonts w:ascii="Calibri" w:hAnsi="Calibri" w:cs="Calibri"/>
          <w:sz w:val="26"/>
          <w:szCs w:val="26"/>
        </w:rPr>
      </w:pPr>
      <w:r w:rsidRPr="006F0BAF">
        <w:rPr>
          <w:rFonts w:ascii="Calibri" w:hAnsi="Calibri" w:cs="Calibri"/>
          <w:i/>
          <w:iCs/>
          <w:sz w:val="26"/>
          <w:szCs w:val="26"/>
        </w:rPr>
        <w:t>2)      În ceea ce privește angajații care prezintă un grad de incapacitate de peste 33 %, recunoscut și atestat de organismele competente ale fiecărei comunități autonome, dacă locul lor de muncă este desființat, întreprinderea va lua în considerare redistribuirea lor, cu condiția ca noul loc de muncă să corespundă profilului lor.</w:t>
      </w:r>
      <w:r w:rsidRPr="006F0BAF">
        <w:rPr>
          <w:rFonts w:ascii="Calibri" w:hAnsi="Calibri" w:cs="Calibri"/>
          <w:sz w:val="26"/>
          <w:szCs w:val="26"/>
        </w:rPr>
        <w:t>”</w:t>
      </w:r>
    </w:p>
    <w:p w14:paraId="65FE4ABD"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 xml:space="preserve">În data de 19 septembrie 2012, angajatorul Chico a transmis doamnei Mutter o </w:t>
      </w:r>
      <w:r w:rsidRPr="006F0BAF">
        <w:rPr>
          <w:rFonts w:ascii="Calibri" w:hAnsi="Calibri" w:cs="Calibri"/>
          <w:b/>
          <w:bCs/>
          <w:sz w:val="26"/>
          <w:szCs w:val="26"/>
        </w:rPr>
        <w:t>notificare de concediere</w:t>
      </w:r>
      <w:r w:rsidRPr="006F0BAF">
        <w:rPr>
          <w:rFonts w:ascii="Calibri" w:hAnsi="Calibri" w:cs="Calibri"/>
          <w:sz w:val="26"/>
          <w:szCs w:val="26"/>
        </w:rPr>
        <w:t xml:space="preserve"> în care a menționat cele ce urmează:</w:t>
      </w:r>
    </w:p>
    <w:p w14:paraId="67863144" w14:textId="77777777" w:rsidR="003C5E86" w:rsidRPr="006F0BAF" w:rsidRDefault="003C5E86" w:rsidP="003C5E86">
      <w:pPr>
        <w:pStyle w:val="c01pointnumerotealtn"/>
        <w:shd w:val="clear" w:color="auto" w:fill="FFFFFF"/>
        <w:spacing w:after="0"/>
        <w:ind w:left="28" w:firstLine="539"/>
        <w:rPr>
          <w:rFonts w:ascii="Calibri" w:hAnsi="Calibri" w:cs="Calibri"/>
          <w:i/>
          <w:iCs/>
          <w:sz w:val="26"/>
          <w:szCs w:val="26"/>
        </w:rPr>
      </w:pPr>
      <w:r w:rsidRPr="006F0BAF">
        <w:rPr>
          <w:rFonts w:ascii="Calibri" w:hAnsi="Calibri" w:cs="Calibri"/>
          <w:sz w:val="26"/>
          <w:szCs w:val="26"/>
        </w:rPr>
        <w:t>„</w:t>
      </w:r>
      <w:r w:rsidRPr="006F0BAF">
        <w:rPr>
          <w:rFonts w:ascii="Calibri" w:hAnsi="Calibri" w:cs="Calibri"/>
          <w:i/>
          <w:iCs/>
          <w:sz w:val="26"/>
          <w:szCs w:val="26"/>
        </w:rPr>
        <w:t>În cazul concret al provinciei unde prestați servicii, odată cu finalizarea procedurii de aderare la programul de compensații pentru încetarea contractului de muncă și după excluderea persoanelor vizate de mobilitatea geografică și de redistribuire, este necesară o ajustare suplimentară a schemei de personal, impunându</w:t>
      </w:r>
      <w:r w:rsidRPr="006F0BAF">
        <w:rPr>
          <w:rFonts w:ascii="Cambria Math" w:hAnsi="Cambria Math" w:cs="Cambria Math"/>
          <w:i/>
          <w:iCs/>
          <w:sz w:val="26"/>
          <w:szCs w:val="26"/>
        </w:rPr>
        <w:t>‑</w:t>
      </w:r>
      <w:r w:rsidRPr="006F0BAF">
        <w:rPr>
          <w:rFonts w:ascii="Calibri" w:hAnsi="Calibri" w:cs="Calibri"/>
          <w:i/>
          <w:iCs/>
          <w:sz w:val="26"/>
          <w:szCs w:val="26"/>
        </w:rPr>
        <w:t>se încetarea unor contracte de muncă prin desemnarea directă de către întreprindere, conform prevederilor Acordului din 15 martie 2012.</w:t>
      </w:r>
    </w:p>
    <w:p w14:paraId="221CDA2B" w14:textId="77777777" w:rsidR="003C5E86" w:rsidRPr="006F0BAF" w:rsidRDefault="003C5E86" w:rsidP="003C5E86">
      <w:pPr>
        <w:pStyle w:val="c01pointnumerotealtn"/>
        <w:shd w:val="clear" w:color="auto" w:fill="FFFFFF"/>
        <w:spacing w:after="0"/>
        <w:ind w:left="28" w:firstLine="539"/>
        <w:rPr>
          <w:rFonts w:ascii="Calibri" w:hAnsi="Calibri" w:cs="Calibri"/>
          <w:i/>
          <w:iCs/>
          <w:sz w:val="26"/>
          <w:szCs w:val="26"/>
        </w:rPr>
      </w:pPr>
      <w:r w:rsidRPr="006F0BAF">
        <w:rPr>
          <w:rFonts w:ascii="Calibri" w:hAnsi="Calibri" w:cs="Calibri"/>
          <w:i/>
          <w:iCs/>
          <w:sz w:val="26"/>
          <w:szCs w:val="26"/>
        </w:rPr>
        <w:lastRenderedPageBreak/>
        <w:t>În acest sens, în urma procedurii de evaluare efectuate în cadrul întreprinderii, care a fost negociată pe perioada consultărilor și care reprezintă un element relevant pentru adoptarea Acordului din 15 martie 2012, din care face parte integrantă, rezultatul dumneavoastră este de 6 puncte și se încadrează printre evaluările cu cel mai mic punctaj din provincia unde prestați servicii.</w:t>
      </w:r>
    </w:p>
    <w:p w14:paraId="47EA5CA4" w14:textId="77777777" w:rsidR="003C5E86" w:rsidRPr="006F0BAF" w:rsidRDefault="003C5E86" w:rsidP="003C5E86">
      <w:pPr>
        <w:pStyle w:val="c01pointnumerotealtn"/>
        <w:shd w:val="clear" w:color="auto" w:fill="FFFFFF"/>
        <w:spacing w:after="0"/>
        <w:ind w:left="28" w:firstLine="539"/>
        <w:rPr>
          <w:rFonts w:ascii="Calibri" w:hAnsi="Calibri" w:cs="Calibri"/>
          <w:sz w:val="26"/>
          <w:szCs w:val="26"/>
        </w:rPr>
      </w:pPr>
      <w:r w:rsidRPr="006F0BAF">
        <w:rPr>
          <w:rFonts w:ascii="Calibri" w:hAnsi="Calibri" w:cs="Calibri"/>
          <w:i/>
          <w:iCs/>
          <w:sz w:val="26"/>
          <w:szCs w:val="26"/>
        </w:rPr>
        <w:t xml:space="preserve">Prin urmare, aplicând criteriile de apreciere menționate și pentru motivele prezentate, </w:t>
      </w:r>
      <w:r w:rsidRPr="006F0BAF">
        <w:rPr>
          <w:rFonts w:ascii="Calibri" w:hAnsi="Calibri" w:cs="Calibri"/>
          <w:i/>
          <w:iCs/>
          <w:sz w:val="26"/>
          <w:szCs w:val="26"/>
          <w:u w:val="single"/>
        </w:rPr>
        <w:t>vă informăm că s</w:t>
      </w:r>
      <w:r w:rsidRPr="006F0BAF">
        <w:rPr>
          <w:rFonts w:ascii="Cambria Math" w:hAnsi="Cambria Math" w:cs="Cambria Math"/>
          <w:i/>
          <w:iCs/>
          <w:sz w:val="26"/>
          <w:szCs w:val="26"/>
          <w:u w:val="single"/>
        </w:rPr>
        <w:t>‑</w:t>
      </w:r>
      <w:r w:rsidRPr="006F0BAF">
        <w:rPr>
          <w:rFonts w:ascii="Calibri" w:hAnsi="Calibri" w:cs="Calibri"/>
          <w:i/>
          <w:iCs/>
          <w:sz w:val="26"/>
          <w:szCs w:val="26"/>
          <w:u w:val="single"/>
        </w:rPr>
        <w:t>a decis încetarea contractului dumneavoastră de muncă cu efect de la 15 decembrie 2012</w:t>
      </w:r>
      <w:r w:rsidRPr="006F0BAF">
        <w:rPr>
          <w:rFonts w:ascii="Calibri" w:hAnsi="Calibri" w:cs="Calibri"/>
          <w:sz w:val="26"/>
          <w:szCs w:val="26"/>
        </w:rPr>
        <w:t>.”</w:t>
      </w:r>
    </w:p>
    <w:p w14:paraId="04F0E230"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La aceeași dată cu notificarea scrisorii de concediere, doamna Mutter a primit din partea societății Chico o sumă de bani cu titlu de indemnizație.</w:t>
      </w:r>
    </w:p>
    <w:p w14:paraId="2822006A" w14:textId="77777777" w:rsidR="003C5E86" w:rsidRPr="006F0BAF" w:rsidRDefault="003C5E86" w:rsidP="003C5E86">
      <w:pPr>
        <w:pStyle w:val="c01pointnumerotealtn"/>
        <w:shd w:val="clear" w:color="auto" w:fill="FFFFFF"/>
        <w:spacing w:after="0"/>
        <w:rPr>
          <w:rFonts w:ascii="Calibri" w:hAnsi="Calibri" w:cs="Calibri"/>
          <w:b/>
          <w:bCs/>
          <w:sz w:val="26"/>
          <w:szCs w:val="26"/>
        </w:rPr>
      </w:pPr>
      <w:r w:rsidRPr="006F0BAF">
        <w:rPr>
          <w:rFonts w:ascii="Calibri" w:hAnsi="Calibri" w:cs="Calibri"/>
          <w:b/>
          <w:bCs/>
          <w:sz w:val="26"/>
          <w:szCs w:val="26"/>
        </w:rPr>
        <w:t>La momentul concedierii sale, doamna Mutter era însărcinată.</w:t>
      </w:r>
    </w:p>
    <w:p w14:paraId="3B76A618"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În data de 10 februarie 2013, doamna Mutter a formulat o cerere de conciliere, care nu a avut un rezultat favorabil. În data de 2 martie 2013, doamna Mutter a contestat concedierea sa în instanță, care a respins această cale de atac printr</w:t>
      </w:r>
      <w:r w:rsidRPr="006F0BAF">
        <w:rPr>
          <w:rFonts w:ascii="Cambria Math" w:hAnsi="Cambria Math" w:cs="Cambria Math"/>
          <w:sz w:val="26"/>
          <w:szCs w:val="26"/>
        </w:rPr>
        <w:t>‑</w:t>
      </w:r>
      <w:r w:rsidRPr="006F0BAF">
        <w:rPr>
          <w:rFonts w:ascii="Calibri" w:hAnsi="Calibri" w:cs="Calibri"/>
          <w:sz w:val="26"/>
          <w:szCs w:val="26"/>
        </w:rPr>
        <w:t>o hotărâre din 25 aprilie 2014. Doamna Mutter a formulat un apel împotriva acestei hotărâri.</w:t>
      </w:r>
    </w:p>
    <w:p w14:paraId="51CEBA6A" w14:textId="77777777" w:rsidR="003C5E86" w:rsidRPr="006F0BAF" w:rsidRDefault="003C5E86" w:rsidP="003C5E86">
      <w:pPr>
        <w:pStyle w:val="c01pointnumerotealtn"/>
        <w:shd w:val="clear" w:color="auto" w:fill="FFFFFF"/>
        <w:spacing w:after="0"/>
        <w:ind w:left="28" w:firstLine="0"/>
        <w:rPr>
          <w:rFonts w:ascii="Calibri" w:hAnsi="Calibri" w:cs="Calibri"/>
          <w:sz w:val="26"/>
          <w:szCs w:val="26"/>
        </w:rPr>
      </w:pPr>
      <w:r w:rsidRPr="006F0BAF">
        <w:rPr>
          <w:rFonts w:ascii="Calibri" w:hAnsi="Calibri" w:cs="Calibri"/>
          <w:sz w:val="26"/>
          <w:szCs w:val="26"/>
        </w:rPr>
        <w:t>Instanța de apel  a hotărât să suspende judecarea cauzei și să adreseze CJUE următoarele întrebări preliminare:</w:t>
      </w:r>
    </w:p>
    <w:p w14:paraId="02D24A3B" w14:textId="77777777" w:rsidR="003C5E86" w:rsidRPr="006F0BAF" w:rsidRDefault="003C5E86" w:rsidP="003C5E86">
      <w:pPr>
        <w:pStyle w:val="c01pointnumerotealtn"/>
        <w:shd w:val="clear" w:color="auto" w:fill="FFFFFF"/>
        <w:spacing w:after="0"/>
        <w:ind w:left="28" w:firstLine="539"/>
        <w:rPr>
          <w:rFonts w:ascii="Calibri" w:hAnsi="Calibri" w:cs="Calibri"/>
          <w:i/>
          <w:iCs/>
          <w:sz w:val="26"/>
          <w:szCs w:val="26"/>
        </w:rPr>
      </w:pPr>
      <w:r w:rsidRPr="006F0BAF">
        <w:rPr>
          <w:rFonts w:ascii="Calibri" w:hAnsi="Calibri" w:cs="Calibri"/>
          <w:sz w:val="26"/>
          <w:szCs w:val="26"/>
        </w:rPr>
        <w:t>„</w:t>
      </w:r>
      <w:r w:rsidRPr="006F0BAF">
        <w:rPr>
          <w:rFonts w:ascii="Calibri" w:hAnsi="Calibri" w:cs="Calibri"/>
          <w:i/>
          <w:iCs/>
          <w:sz w:val="26"/>
          <w:szCs w:val="26"/>
        </w:rPr>
        <w:t>1)      Articolul 10 punctul 1 din Directiva 92/85 trebuie interpretat în sensul că situația «cazurilor speciale care nu au legătură cu starea lor, admise de legislațiile și/sau practicile naționale», ca excepție de la interdicția concedierii lucrătoarelor gravide, care au născut de curând sau care alăptează, reprezintă o situație care nu este similară cu «unul sau mai multe motive, fără legătură cu persoana lucrătorului» la care face referire articolul 1 alineatul (1) litera (a) din Directiva 98/59, ci este mai restrânsă?</w:t>
      </w:r>
    </w:p>
    <w:p w14:paraId="5876651E" w14:textId="77777777" w:rsidR="003C5E86" w:rsidRPr="006F0BAF" w:rsidRDefault="003C5E86" w:rsidP="003C5E86">
      <w:pPr>
        <w:pStyle w:val="c01pointnumerotealtn"/>
        <w:shd w:val="clear" w:color="auto" w:fill="FFFFFF"/>
        <w:spacing w:after="0"/>
        <w:ind w:left="28" w:firstLine="539"/>
        <w:rPr>
          <w:rFonts w:ascii="Calibri" w:hAnsi="Calibri" w:cs="Calibri"/>
          <w:sz w:val="26"/>
          <w:szCs w:val="26"/>
        </w:rPr>
      </w:pPr>
      <w:r w:rsidRPr="006F0BAF">
        <w:rPr>
          <w:rFonts w:ascii="Calibri" w:hAnsi="Calibri" w:cs="Calibri"/>
          <w:i/>
          <w:iCs/>
          <w:sz w:val="26"/>
          <w:szCs w:val="26"/>
        </w:rPr>
        <w:t>2)      O legislație națională care consideră că este suficientă o notificare de concediere precum cea din prezenta cauză, care nu face nicio referire la existența unei situații speciale, în plus față de cele pe care se întemeiază concedierea colectivă, care afectează lucrătoarea gravidă prin decizia de încetare colectivă, este conformă cu articolul 10 punctul 2 din Directiva 92/85?</w:t>
      </w:r>
      <w:r w:rsidRPr="006F0BAF">
        <w:rPr>
          <w:rFonts w:ascii="Calibri" w:hAnsi="Calibri" w:cs="Calibri"/>
          <w:sz w:val="26"/>
          <w:szCs w:val="26"/>
        </w:rPr>
        <w:t>”</w:t>
      </w:r>
    </w:p>
    <w:p w14:paraId="511205C5" w14:textId="77777777" w:rsidR="003C5E86" w:rsidRPr="006F0BAF" w:rsidRDefault="003C5E86" w:rsidP="003C5E86">
      <w:pPr>
        <w:pStyle w:val="ListParagraph"/>
        <w:spacing w:after="0"/>
        <w:ind w:left="0" w:firstLine="720"/>
        <w:jc w:val="both"/>
        <w:rPr>
          <w:rFonts w:cs="Calibri"/>
          <w:sz w:val="26"/>
          <w:szCs w:val="26"/>
          <w:lang w:val="ro-RO"/>
        </w:rPr>
      </w:pPr>
    </w:p>
    <w:p w14:paraId="3B742731" w14:textId="77777777" w:rsidR="003C5E86" w:rsidRPr="006F0BAF" w:rsidRDefault="003C5E86" w:rsidP="003C5E86">
      <w:pPr>
        <w:pStyle w:val="ListParagraph"/>
        <w:spacing w:after="0"/>
        <w:ind w:left="0" w:firstLine="720"/>
        <w:jc w:val="both"/>
        <w:rPr>
          <w:rFonts w:cs="Calibri"/>
          <w:b/>
          <w:sz w:val="26"/>
          <w:szCs w:val="26"/>
          <w:lang w:val="ro-RO"/>
        </w:rPr>
      </w:pPr>
      <w:r w:rsidRPr="006F0BAF">
        <w:rPr>
          <w:rFonts w:cs="Calibri"/>
          <w:b/>
          <w:i/>
          <w:sz w:val="26"/>
          <w:szCs w:val="26"/>
          <w:u w:val="single"/>
          <w:lang w:val="ro-RO"/>
        </w:rPr>
        <w:t>Lucrarea profesională nr. 3:</w:t>
      </w:r>
    </w:p>
    <w:p w14:paraId="7210475C" w14:textId="77777777" w:rsidR="003C5E86" w:rsidRPr="006F0BAF" w:rsidRDefault="003C5E86" w:rsidP="003C5E86">
      <w:pPr>
        <w:pStyle w:val="ListParagraph"/>
        <w:spacing w:after="0"/>
        <w:ind w:left="0" w:firstLine="720"/>
        <w:jc w:val="both"/>
        <w:rPr>
          <w:rFonts w:cs="Calibri"/>
          <w:b/>
          <w:i/>
          <w:sz w:val="26"/>
          <w:szCs w:val="26"/>
          <w:lang w:val="ro-RO"/>
        </w:rPr>
      </w:pPr>
      <w:r w:rsidRPr="006F0BAF">
        <w:rPr>
          <w:rFonts w:cs="Calibri"/>
          <w:b/>
          <w:i/>
          <w:sz w:val="26"/>
          <w:szCs w:val="26"/>
          <w:lang w:val="ro-RO"/>
        </w:rPr>
        <w:t>Arătați care va fi soluția CJUE în cauza prezentată mai sus. Explicați dacă considerați că răspunsul CJUE la întrebările preliminare formulate sunt în favoarea sau în defavoarea pretențiilor deduse judecății de către doamna Mutter. Motivați.</w:t>
      </w:r>
    </w:p>
    <w:p w14:paraId="758E75FA" w14:textId="77777777" w:rsidR="00B309BF" w:rsidRPr="0038332A" w:rsidRDefault="00B309BF" w:rsidP="003C5E86">
      <w:pPr>
        <w:autoSpaceDE w:val="0"/>
        <w:autoSpaceDN w:val="0"/>
        <w:adjustRightInd w:val="0"/>
        <w:spacing w:after="120"/>
        <w:jc w:val="both"/>
        <w:rPr>
          <w:rFonts w:ascii="Book Antiqua" w:hAnsi="Book Antiqua"/>
          <w:sz w:val="24"/>
          <w:szCs w:val="24"/>
          <w:lang w:val="ro-RO"/>
        </w:rPr>
      </w:pPr>
    </w:p>
    <w:sectPr w:rsidR="00B309BF" w:rsidRPr="0038332A" w:rsidSect="00A73AD9">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43A15" w14:textId="77777777" w:rsidR="00D14717" w:rsidRDefault="00D14717" w:rsidP="0038332A">
      <w:pPr>
        <w:spacing w:after="0" w:line="240" w:lineRule="auto"/>
      </w:pPr>
      <w:r>
        <w:separator/>
      </w:r>
    </w:p>
  </w:endnote>
  <w:endnote w:type="continuationSeparator" w:id="0">
    <w:p w14:paraId="22EC76A6" w14:textId="77777777" w:rsidR="00D14717" w:rsidRDefault="00D14717" w:rsidP="0038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18A0" w14:textId="77777777" w:rsidR="0038332A" w:rsidRDefault="0038332A">
    <w:pPr>
      <w:pStyle w:val="Footer"/>
    </w:pPr>
    <w:r>
      <w:fldChar w:fldCharType="begin"/>
    </w:r>
    <w:r>
      <w:instrText xml:space="preserve"> PAGE   \* MERGEFORMAT </w:instrText>
    </w:r>
    <w:r>
      <w:fldChar w:fldCharType="separate"/>
    </w:r>
    <w:r>
      <w:rPr>
        <w:noProof/>
      </w:rPr>
      <w:t>3</w:t>
    </w:r>
    <w:r>
      <w:rPr>
        <w:noProof/>
      </w:rPr>
      <w:fldChar w:fldCharType="end"/>
    </w:r>
  </w:p>
  <w:p w14:paraId="6CB667FF" w14:textId="77777777" w:rsidR="0038332A" w:rsidRDefault="0038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7F109" w14:textId="77777777" w:rsidR="00D14717" w:rsidRDefault="00D14717" w:rsidP="0038332A">
      <w:pPr>
        <w:spacing w:after="0" w:line="240" w:lineRule="auto"/>
      </w:pPr>
      <w:r>
        <w:separator/>
      </w:r>
    </w:p>
  </w:footnote>
  <w:footnote w:type="continuationSeparator" w:id="0">
    <w:p w14:paraId="3971D992" w14:textId="77777777" w:rsidR="00D14717" w:rsidRDefault="00D14717" w:rsidP="00383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CBE"/>
    <w:rsid w:val="00122743"/>
    <w:rsid w:val="001E25ED"/>
    <w:rsid w:val="002A1C30"/>
    <w:rsid w:val="002F18E8"/>
    <w:rsid w:val="00370E02"/>
    <w:rsid w:val="0038332A"/>
    <w:rsid w:val="003C5E86"/>
    <w:rsid w:val="00607D5C"/>
    <w:rsid w:val="00662CBE"/>
    <w:rsid w:val="007C0E59"/>
    <w:rsid w:val="009B0009"/>
    <w:rsid w:val="00A00850"/>
    <w:rsid w:val="00A52F66"/>
    <w:rsid w:val="00A73AD9"/>
    <w:rsid w:val="00B309BF"/>
    <w:rsid w:val="00B42F57"/>
    <w:rsid w:val="00B51430"/>
    <w:rsid w:val="00BF217D"/>
    <w:rsid w:val="00BF3155"/>
    <w:rsid w:val="00D14717"/>
    <w:rsid w:val="00DA6B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505F729"/>
  <w15:chartTrackingRefBased/>
  <w15:docId w15:val="{CF887972-0EF1-4A6B-98A4-0A4D53F9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8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18E8"/>
    <w:rPr>
      <w:rFonts w:ascii="Tahoma" w:hAnsi="Tahoma" w:cs="Tahoma"/>
      <w:sz w:val="16"/>
      <w:szCs w:val="16"/>
    </w:rPr>
  </w:style>
  <w:style w:type="paragraph" w:styleId="NoSpacing">
    <w:name w:val="No Spacing"/>
    <w:uiPriority w:val="1"/>
    <w:qFormat/>
    <w:rsid w:val="002A1C30"/>
    <w:rPr>
      <w:sz w:val="22"/>
      <w:szCs w:val="22"/>
      <w:lang w:val="en-US" w:eastAsia="en-US"/>
    </w:rPr>
  </w:style>
  <w:style w:type="paragraph" w:styleId="Header">
    <w:name w:val="header"/>
    <w:basedOn w:val="Normal"/>
    <w:link w:val="HeaderChar"/>
    <w:uiPriority w:val="99"/>
    <w:unhideWhenUsed/>
    <w:rsid w:val="0038332A"/>
    <w:pPr>
      <w:tabs>
        <w:tab w:val="center" w:pos="4513"/>
        <w:tab w:val="right" w:pos="9026"/>
      </w:tabs>
    </w:pPr>
  </w:style>
  <w:style w:type="character" w:customStyle="1" w:styleId="HeaderChar">
    <w:name w:val="Header Char"/>
    <w:link w:val="Header"/>
    <w:uiPriority w:val="99"/>
    <w:rsid w:val="0038332A"/>
    <w:rPr>
      <w:sz w:val="22"/>
      <w:szCs w:val="22"/>
      <w:lang w:val="en-US" w:eastAsia="en-US"/>
    </w:rPr>
  </w:style>
  <w:style w:type="paragraph" w:styleId="Footer">
    <w:name w:val="footer"/>
    <w:basedOn w:val="Normal"/>
    <w:link w:val="FooterChar"/>
    <w:uiPriority w:val="99"/>
    <w:unhideWhenUsed/>
    <w:rsid w:val="0038332A"/>
    <w:pPr>
      <w:tabs>
        <w:tab w:val="center" w:pos="4513"/>
        <w:tab w:val="right" w:pos="9026"/>
      </w:tabs>
    </w:pPr>
  </w:style>
  <w:style w:type="character" w:customStyle="1" w:styleId="FooterChar">
    <w:name w:val="Footer Char"/>
    <w:link w:val="Footer"/>
    <w:uiPriority w:val="99"/>
    <w:rsid w:val="0038332A"/>
    <w:rPr>
      <w:sz w:val="22"/>
      <w:szCs w:val="22"/>
      <w:lang w:val="en-US" w:eastAsia="en-US"/>
    </w:rPr>
  </w:style>
  <w:style w:type="paragraph" w:styleId="ListParagraph">
    <w:name w:val="List Paragraph"/>
    <w:basedOn w:val="Normal"/>
    <w:uiPriority w:val="34"/>
    <w:qFormat/>
    <w:rsid w:val="003C5E86"/>
    <w:pPr>
      <w:ind w:left="720"/>
      <w:contextualSpacing/>
    </w:pPr>
  </w:style>
  <w:style w:type="paragraph" w:customStyle="1" w:styleId="c01pointnumerotealtn">
    <w:name w:val="c01pointnumerotealtn"/>
    <w:basedOn w:val="Normal"/>
    <w:rsid w:val="003C5E86"/>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customStyle="1" w:styleId="c02alineaalta">
    <w:name w:val="c02alineaalta"/>
    <w:basedOn w:val="Normal"/>
    <w:rsid w:val="003C5E86"/>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3C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9270-01B4-43D9-8A18-C75EAE09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1852</Words>
  <Characters>10744</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Bogdan</dc:creator>
  <cp:keywords/>
  <cp:lastModifiedBy>Sandu Gherasim</cp:lastModifiedBy>
  <cp:revision>2</cp:revision>
  <cp:lastPrinted>2011-01-26T06:24:00Z</cp:lastPrinted>
  <dcterms:created xsi:type="dcterms:W3CDTF">2019-09-20T07:43:00Z</dcterms:created>
  <dcterms:modified xsi:type="dcterms:W3CDTF">2019-09-20T07:43:00Z</dcterms:modified>
</cp:coreProperties>
</file>