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4E304" w14:textId="77777777" w:rsidR="002D4D3F" w:rsidRPr="004640D8" w:rsidRDefault="002D4D3F" w:rsidP="002D4D3F">
      <w:pPr>
        <w:jc w:val="both"/>
        <w:rPr>
          <w:rFonts w:ascii="Cambria" w:hAnsi="Cambria"/>
          <w:i/>
          <w:sz w:val="26"/>
          <w:szCs w:val="26"/>
          <w:lang w:val="ro-RO"/>
        </w:rPr>
      </w:pPr>
      <w:bookmarkStart w:id="0" w:name="_GoBack"/>
      <w:bookmarkEnd w:id="0"/>
    </w:p>
    <w:p w14:paraId="32D5F9BA" w14:textId="77777777" w:rsidR="002D4D3F" w:rsidRPr="004640D8" w:rsidRDefault="002D4D3F" w:rsidP="00E5764F">
      <w:pPr>
        <w:autoSpaceDN w:val="0"/>
        <w:adjustRightInd w:val="0"/>
        <w:jc w:val="right"/>
        <w:rPr>
          <w:rFonts w:ascii="Cambria" w:hAnsi="Cambria"/>
          <w:b/>
          <w:bCs/>
          <w:color w:val="000000"/>
          <w:sz w:val="26"/>
          <w:szCs w:val="26"/>
          <w:lang w:val="ro-RO"/>
        </w:rPr>
      </w:pPr>
      <w:r w:rsidRPr="004640D8">
        <w:rPr>
          <w:rFonts w:ascii="Cambria" w:hAnsi="Cambria"/>
          <w:noProof/>
          <w:sz w:val="26"/>
          <w:szCs w:val="26"/>
          <w:lang w:val="ro-RO"/>
        </w:rPr>
        <w:pict w14:anchorId="47E93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8" o:title=""/>
          </v:shape>
        </w:pict>
      </w:r>
      <w:r w:rsidRPr="004640D8">
        <w:rPr>
          <w:rFonts w:ascii="Cambria" w:hAnsi="Cambria"/>
          <w:b/>
          <w:bCs/>
          <w:color w:val="000000"/>
          <w:sz w:val="26"/>
          <w:szCs w:val="26"/>
          <w:lang w:val="ro-RO"/>
        </w:rPr>
        <w:t xml:space="preserve">INSTITUTUL NAŢIONAL PENTRU </w:t>
      </w:r>
    </w:p>
    <w:p w14:paraId="55DA3647" w14:textId="77777777" w:rsidR="002D4D3F" w:rsidRPr="004640D8" w:rsidRDefault="002D4D3F" w:rsidP="002D4D3F">
      <w:pPr>
        <w:autoSpaceDN w:val="0"/>
        <w:adjustRightInd w:val="0"/>
        <w:jc w:val="right"/>
        <w:rPr>
          <w:rFonts w:ascii="Cambria" w:hAnsi="Cambria"/>
          <w:b/>
          <w:bCs/>
          <w:color w:val="000000"/>
          <w:sz w:val="26"/>
          <w:szCs w:val="26"/>
          <w:lang w:val="ro-RO"/>
        </w:rPr>
      </w:pPr>
      <w:r w:rsidRPr="004640D8">
        <w:rPr>
          <w:rFonts w:ascii="Cambria" w:hAnsi="Cambria"/>
          <w:b/>
          <w:bCs/>
          <w:color w:val="000000"/>
          <w:sz w:val="26"/>
          <w:szCs w:val="26"/>
          <w:lang w:val="ro-RO"/>
        </w:rPr>
        <w:t xml:space="preserve">PREGĂTIREA ŞI PERFECŢIONAREA AVOCAŢILOR </w:t>
      </w:r>
    </w:p>
    <w:p w14:paraId="2F61163D" w14:textId="77777777" w:rsidR="002D4D3F" w:rsidRPr="004640D8" w:rsidRDefault="002D4D3F" w:rsidP="002D4D3F">
      <w:pPr>
        <w:autoSpaceDN w:val="0"/>
        <w:adjustRightInd w:val="0"/>
        <w:jc w:val="right"/>
        <w:rPr>
          <w:rFonts w:ascii="Cambria" w:hAnsi="Cambria"/>
          <w:b/>
          <w:bCs/>
          <w:color w:val="000000"/>
          <w:sz w:val="26"/>
          <w:szCs w:val="26"/>
          <w:lang w:val="ro-RO"/>
        </w:rPr>
      </w:pPr>
    </w:p>
    <w:p w14:paraId="3A9EF0D6" w14:textId="77777777" w:rsidR="002D4D3F" w:rsidRPr="004640D8" w:rsidRDefault="002D4D3F" w:rsidP="002D4D3F">
      <w:pPr>
        <w:autoSpaceDN w:val="0"/>
        <w:adjustRightInd w:val="0"/>
        <w:jc w:val="right"/>
        <w:rPr>
          <w:rFonts w:ascii="Cambria" w:hAnsi="Cambria"/>
          <w:b/>
          <w:bCs/>
          <w:color w:val="000000"/>
          <w:sz w:val="26"/>
          <w:szCs w:val="26"/>
          <w:lang w:val="ro-RO"/>
        </w:rPr>
      </w:pPr>
      <w:r w:rsidRPr="004640D8">
        <w:rPr>
          <w:rFonts w:ascii="Cambria" w:hAnsi="Cambria"/>
          <w:b/>
          <w:bCs/>
          <w:color w:val="000000"/>
          <w:sz w:val="26"/>
          <w:szCs w:val="26"/>
          <w:lang w:val="ro-RO"/>
        </w:rPr>
        <w:t>EXAMEN ABSOLVIRE</w:t>
      </w:r>
    </w:p>
    <w:p w14:paraId="7E8A10F0" w14:textId="77777777" w:rsidR="002D4D3F" w:rsidRPr="004640D8" w:rsidRDefault="002D4D3F" w:rsidP="002D4D3F">
      <w:pPr>
        <w:autoSpaceDN w:val="0"/>
        <w:adjustRightInd w:val="0"/>
        <w:jc w:val="right"/>
        <w:rPr>
          <w:rFonts w:ascii="Cambria" w:hAnsi="Cambria"/>
          <w:b/>
          <w:bCs/>
          <w:color w:val="000000"/>
          <w:sz w:val="26"/>
          <w:szCs w:val="26"/>
          <w:lang w:val="ro-RO"/>
        </w:rPr>
      </w:pPr>
      <w:r w:rsidRPr="004640D8">
        <w:rPr>
          <w:rFonts w:ascii="Cambria" w:hAnsi="Cambria"/>
          <w:b/>
          <w:bCs/>
          <w:color w:val="000000"/>
          <w:sz w:val="26"/>
          <w:szCs w:val="26"/>
          <w:lang w:val="ro-RO"/>
        </w:rPr>
        <w:t>SESIUNEA NOIEMBRIE 201</w:t>
      </w:r>
      <w:r w:rsidR="00762B42" w:rsidRPr="004640D8">
        <w:rPr>
          <w:rFonts w:ascii="Cambria" w:hAnsi="Cambria"/>
          <w:b/>
          <w:bCs/>
          <w:color w:val="000000"/>
          <w:sz w:val="26"/>
          <w:szCs w:val="26"/>
          <w:lang w:val="ro-RO"/>
        </w:rPr>
        <w:t>9</w:t>
      </w:r>
      <w:r w:rsidRPr="004640D8">
        <w:rPr>
          <w:rFonts w:ascii="Cambria" w:hAnsi="Cambria"/>
          <w:b/>
          <w:bCs/>
          <w:color w:val="000000"/>
          <w:sz w:val="26"/>
          <w:szCs w:val="26"/>
          <w:lang w:val="ro-RO"/>
        </w:rPr>
        <w:t xml:space="preserve"> </w:t>
      </w:r>
    </w:p>
    <w:p w14:paraId="11B8C72B" w14:textId="77777777" w:rsidR="002D4D3F" w:rsidRPr="004640D8" w:rsidRDefault="002D4D3F" w:rsidP="002D4D3F">
      <w:pPr>
        <w:autoSpaceDN w:val="0"/>
        <w:adjustRightInd w:val="0"/>
        <w:jc w:val="right"/>
        <w:rPr>
          <w:rFonts w:ascii="Cambria" w:hAnsi="Cambria"/>
          <w:bCs/>
          <w:color w:val="000000"/>
          <w:sz w:val="26"/>
          <w:szCs w:val="26"/>
          <w:lang w:val="ro-RO"/>
        </w:rPr>
      </w:pPr>
    </w:p>
    <w:p w14:paraId="78BD7963" w14:textId="77777777" w:rsidR="00127C55" w:rsidRPr="004640D8" w:rsidRDefault="00127C55" w:rsidP="002D4D3F">
      <w:pPr>
        <w:autoSpaceDN w:val="0"/>
        <w:adjustRightInd w:val="0"/>
        <w:jc w:val="right"/>
        <w:rPr>
          <w:rFonts w:ascii="Cambria" w:hAnsi="Cambria"/>
          <w:bCs/>
          <w:color w:val="000000"/>
          <w:sz w:val="26"/>
          <w:szCs w:val="26"/>
          <w:lang w:val="ro-RO"/>
        </w:rPr>
      </w:pPr>
    </w:p>
    <w:p w14:paraId="17E6B0B8" w14:textId="77777777" w:rsidR="002D4D3F" w:rsidRPr="004640D8" w:rsidRDefault="002D4D3F" w:rsidP="002D4D3F">
      <w:pPr>
        <w:autoSpaceDN w:val="0"/>
        <w:adjustRightInd w:val="0"/>
        <w:jc w:val="right"/>
        <w:rPr>
          <w:rFonts w:ascii="Cambria" w:hAnsi="Cambria"/>
          <w:bCs/>
          <w:sz w:val="26"/>
          <w:szCs w:val="26"/>
          <w:lang w:val="ro-RO"/>
        </w:rPr>
      </w:pPr>
    </w:p>
    <w:p w14:paraId="08165019" w14:textId="77777777" w:rsidR="002D4D3F" w:rsidRPr="004640D8" w:rsidRDefault="00D01324" w:rsidP="00121960">
      <w:pPr>
        <w:autoSpaceDE w:val="0"/>
        <w:autoSpaceDN w:val="0"/>
        <w:adjustRightInd w:val="0"/>
        <w:spacing w:after="120"/>
        <w:jc w:val="both"/>
        <w:rPr>
          <w:rFonts w:ascii="Cambria" w:hAnsi="Cambria" w:cs="Calibri"/>
          <w:b/>
          <w:bCs/>
          <w:i/>
          <w:sz w:val="26"/>
          <w:szCs w:val="26"/>
          <w:lang w:val="ro-RO"/>
        </w:rPr>
      </w:pPr>
      <w:r w:rsidRPr="004640D8">
        <w:rPr>
          <w:rFonts w:ascii="Cambria" w:hAnsi="Cambria" w:cs="Calibri"/>
          <w:b/>
          <w:bCs/>
          <w:i/>
          <w:sz w:val="26"/>
          <w:szCs w:val="26"/>
          <w:lang w:val="ro-RO"/>
        </w:rPr>
        <w:t xml:space="preserve">Modul: </w:t>
      </w:r>
      <w:r w:rsidR="00805027" w:rsidRPr="004640D8">
        <w:rPr>
          <w:rFonts w:ascii="Cambria" w:hAnsi="Cambria" w:cs="Calibri"/>
          <w:b/>
          <w:bCs/>
          <w:i/>
          <w:sz w:val="26"/>
          <w:szCs w:val="26"/>
          <w:lang w:val="ro-RO"/>
        </w:rPr>
        <w:t>Drept</w:t>
      </w:r>
      <w:r w:rsidR="008261BE" w:rsidRPr="004640D8">
        <w:rPr>
          <w:rFonts w:ascii="Cambria" w:hAnsi="Cambria" w:cs="Calibri"/>
          <w:b/>
          <w:bCs/>
          <w:i/>
          <w:sz w:val="26"/>
          <w:szCs w:val="26"/>
          <w:lang w:val="ro-RO"/>
        </w:rPr>
        <w:t>ul Uniunii Europene</w:t>
      </w:r>
      <w:r w:rsidR="00805027" w:rsidRPr="004640D8">
        <w:rPr>
          <w:rFonts w:ascii="Cambria" w:hAnsi="Cambria" w:cs="Calibri"/>
          <w:b/>
          <w:bCs/>
          <w:i/>
          <w:sz w:val="26"/>
          <w:szCs w:val="26"/>
          <w:lang w:val="ro-RO"/>
        </w:rPr>
        <w:t xml:space="preserve"> </w:t>
      </w:r>
    </w:p>
    <w:p w14:paraId="5B0B8CF9" w14:textId="77777777" w:rsidR="00805027" w:rsidRPr="004640D8" w:rsidRDefault="00805027" w:rsidP="00216B30">
      <w:pPr>
        <w:autoSpaceDE w:val="0"/>
        <w:autoSpaceDN w:val="0"/>
        <w:adjustRightInd w:val="0"/>
        <w:spacing w:after="120"/>
        <w:jc w:val="both"/>
        <w:rPr>
          <w:rFonts w:ascii="Cambria" w:hAnsi="Cambria" w:cs="Calibri"/>
          <w:b/>
          <w:bCs/>
          <w:i/>
          <w:sz w:val="26"/>
          <w:szCs w:val="26"/>
          <w:lang w:val="ro-RO"/>
        </w:rPr>
      </w:pPr>
    </w:p>
    <w:p w14:paraId="652C07A5" w14:textId="77777777" w:rsidR="00E92387" w:rsidRPr="004640D8" w:rsidRDefault="00E92387" w:rsidP="00E92387">
      <w:pPr>
        <w:autoSpaceDE w:val="0"/>
        <w:autoSpaceDN w:val="0"/>
        <w:adjustRightInd w:val="0"/>
        <w:spacing w:after="120"/>
        <w:ind w:firstLine="720"/>
        <w:jc w:val="both"/>
        <w:rPr>
          <w:rFonts w:ascii="Cambria" w:hAnsi="Cambria" w:cs="Calibri"/>
          <w:b/>
          <w:bCs/>
          <w:i/>
          <w:sz w:val="26"/>
          <w:szCs w:val="26"/>
          <w:u w:val="single"/>
          <w:lang w:val="ro-RO"/>
        </w:rPr>
      </w:pPr>
      <w:r w:rsidRPr="004640D8">
        <w:rPr>
          <w:rFonts w:ascii="Cambria" w:hAnsi="Cambria" w:cs="Calibri"/>
          <w:b/>
          <w:bCs/>
          <w:i/>
          <w:sz w:val="26"/>
          <w:szCs w:val="26"/>
          <w:u w:val="single"/>
          <w:lang w:val="ro-RO"/>
        </w:rPr>
        <w:t>Speța 1</w:t>
      </w:r>
    </w:p>
    <w:p w14:paraId="652E20F4" w14:textId="77777777" w:rsidR="00E92387" w:rsidRPr="004640D8" w:rsidRDefault="00E92387" w:rsidP="00216B30">
      <w:pPr>
        <w:autoSpaceDE w:val="0"/>
        <w:autoSpaceDN w:val="0"/>
        <w:adjustRightInd w:val="0"/>
        <w:spacing w:after="120"/>
        <w:jc w:val="both"/>
        <w:rPr>
          <w:rFonts w:ascii="Cambria" w:hAnsi="Cambria" w:cs="Calibri"/>
          <w:b/>
          <w:bCs/>
          <w:i/>
          <w:sz w:val="26"/>
          <w:szCs w:val="26"/>
          <w:lang w:val="ro-RO"/>
        </w:rPr>
      </w:pPr>
    </w:p>
    <w:p w14:paraId="35B30C94" w14:textId="77777777" w:rsidR="008261BE" w:rsidRPr="004640D8" w:rsidRDefault="008261BE" w:rsidP="008261BE">
      <w:pPr>
        <w:pStyle w:val="NormalWeb"/>
        <w:shd w:val="clear" w:color="auto" w:fill="FFFFFF"/>
        <w:spacing w:before="0" w:after="0"/>
        <w:jc w:val="both"/>
        <w:rPr>
          <w:rFonts w:ascii="Cambria" w:hAnsi="Cambria"/>
          <w:color w:val="222222"/>
          <w:sz w:val="26"/>
          <w:szCs w:val="26"/>
          <w:lang w:val="ro-RO"/>
        </w:rPr>
      </w:pPr>
      <w:r w:rsidRPr="004640D8">
        <w:rPr>
          <w:rFonts w:ascii="Cambria" w:hAnsi="Cambria"/>
          <w:color w:val="222222"/>
          <w:sz w:val="26"/>
          <w:szCs w:val="26"/>
          <w:lang w:val="ro-RO"/>
        </w:rPr>
        <w:tab/>
        <w:t>La 25 ianuarie 2019, domnul Santinescu a fost reținut la controlul de securitate de pe Aeroportul Henri Coandă din București, pentru motivul potrivit căruia bagajul de mână al acestuia conținea rachete de tenis, considerate articole interzise, în conformitate cu Anexa la un Regulament al Uniunii Europene.</w:t>
      </w:r>
    </w:p>
    <w:p w14:paraId="30F65EBC" w14:textId="77777777" w:rsidR="008261BE" w:rsidRPr="004640D8" w:rsidRDefault="008261BE" w:rsidP="008261BE">
      <w:pPr>
        <w:pStyle w:val="NormalWeb"/>
        <w:shd w:val="clear" w:color="auto" w:fill="FFFFFF"/>
        <w:spacing w:before="0" w:after="0"/>
        <w:ind w:firstLine="708"/>
        <w:jc w:val="both"/>
        <w:rPr>
          <w:rFonts w:ascii="Cambria" w:hAnsi="Cambria"/>
          <w:color w:val="222222"/>
          <w:sz w:val="26"/>
          <w:szCs w:val="26"/>
          <w:lang w:val="ro-RO"/>
        </w:rPr>
      </w:pPr>
      <w:r w:rsidRPr="004640D8">
        <w:rPr>
          <w:rFonts w:ascii="Cambria" w:hAnsi="Cambria"/>
          <w:color w:val="222222"/>
          <w:sz w:val="26"/>
          <w:szCs w:val="26"/>
          <w:lang w:val="ro-RO"/>
        </w:rPr>
        <w:t>Regulamentul a fost publicat în Jurnalul Oficial al Uniunii Europene, în toate limbile oficiale ale UE, Seria L, la data de 23 mai 2016. Potrivit dispozițiilor sale, acesta a intrat în vigoare 6 luni mai târziu și s-a aplicat după 2 ani de la intrarea în vigoare.</w:t>
      </w:r>
    </w:p>
    <w:p w14:paraId="769D2B62" w14:textId="77777777" w:rsidR="008261BE" w:rsidRPr="004640D8" w:rsidRDefault="008261BE" w:rsidP="008261BE">
      <w:pPr>
        <w:pStyle w:val="NormalWeb"/>
        <w:shd w:val="clear" w:color="auto" w:fill="FFFFFF"/>
        <w:spacing w:before="0" w:after="0"/>
        <w:ind w:firstLine="708"/>
        <w:jc w:val="both"/>
        <w:rPr>
          <w:rFonts w:ascii="Cambria" w:hAnsi="Cambria"/>
          <w:color w:val="222222"/>
          <w:sz w:val="26"/>
          <w:szCs w:val="26"/>
          <w:lang w:val="ro-RO"/>
        </w:rPr>
      </w:pPr>
      <w:r w:rsidRPr="004640D8">
        <w:rPr>
          <w:rFonts w:ascii="Cambria" w:hAnsi="Cambria"/>
          <w:color w:val="222222"/>
          <w:sz w:val="26"/>
          <w:szCs w:val="26"/>
          <w:lang w:val="ro-RO"/>
        </w:rPr>
        <w:t xml:space="preserve">Nefiindu-i permis accesul în aeronavă, Domnul Santinescu a încercat să convingă autoritățile de faptul că nu a avut cunoștință despre conținutul listei cu articolele interzise la bordul aeronavelor din Anexa la Regulament, în condițiile în care, în Jurnalul Oficial al UE, ediția în limba română, nu se găsea publicată Anexa respectivă, ci doar Regulamentul. Astfel, a considerat că era datoria autorităților române să-l informeze, cu suficient timp înainte, cu privire la această interdicție. </w:t>
      </w:r>
    </w:p>
    <w:p w14:paraId="06964DAF" w14:textId="77777777" w:rsidR="008261BE" w:rsidRPr="004640D8" w:rsidRDefault="008261BE" w:rsidP="008261BE">
      <w:pPr>
        <w:pStyle w:val="NormalWeb"/>
        <w:shd w:val="clear" w:color="auto" w:fill="FFFFFF"/>
        <w:spacing w:before="0" w:after="0"/>
        <w:ind w:firstLine="708"/>
        <w:jc w:val="both"/>
        <w:rPr>
          <w:rFonts w:ascii="Cambria" w:hAnsi="Cambria"/>
          <w:color w:val="222222"/>
          <w:sz w:val="26"/>
          <w:szCs w:val="26"/>
          <w:lang w:val="ro-RO"/>
        </w:rPr>
      </w:pPr>
      <w:r w:rsidRPr="004640D8">
        <w:rPr>
          <w:rFonts w:ascii="Cambria" w:hAnsi="Cambria"/>
          <w:color w:val="222222"/>
          <w:sz w:val="26"/>
          <w:szCs w:val="26"/>
          <w:lang w:val="ro-RO"/>
        </w:rPr>
        <w:t xml:space="preserve">Domnul Santinescu a formulat o acțiune în fața instanței competente, solicitând acesteia să constate că măsurile luate împotriva sa au fost ilegale, raportate la legislația Uniunii Europene. </w:t>
      </w:r>
    </w:p>
    <w:p w14:paraId="4F2EE872" w14:textId="77777777" w:rsidR="008261BE" w:rsidRPr="004640D8" w:rsidRDefault="008261BE" w:rsidP="008261BE">
      <w:pPr>
        <w:jc w:val="both"/>
        <w:rPr>
          <w:rFonts w:ascii="Cambria" w:hAnsi="Cambria"/>
          <w:b/>
          <w:bCs/>
          <w:sz w:val="26"/>
          <w:szCs w:val="26"/>
          <w:lang w:val="ro-RO"/>
        </w:rPr>
      </w:pPr>
    </w:p>
    <w:p w14:paraId="55984E41" w14:textId="77777777" w:rsidR="008261BE" w:rsidRPr="004640D8" w:rsidRDefault="00001A89" w:rsidP="008261BE">
      <w:pPr>
        <w:jc w:val="both"/>
        <w:rPr>
          <w:rFonts w:ascii="Cambria" w:hAnsi="Cambria"/>
          <w:b/>
          <w:bCs/>
          <w:sz w:val="26"/>
          <w:szCs w:val="26"/>
          <w:lang w:val="ro-RO"/>
        </w:rPr>
      </w:pPr>
      <w:r w:rsidRPr="004640D8">
        <w:rPr>
          <w:rFonts w:ascii="Cambria" w:hAnsi="Cambria"/>
          <w:b/>
          <w:sz w:val="26"/>
          <w:szCs w:val="26"/>
          <w:lang w:val="ro-RO"/>
        </w:rPr>
        <w:t>Lucrare profesională 1</w:t>
      </w:r>
      <w:r w:rsidR="008261BE" w:rsidRPr="004640D8">
        <w:rPr>
          <w:rFonts w:ascii="Cambria" w:hAnsi="Cambria"/>
          <w:b/>
          <w:bCs/>
          <w:sz w:val="26"/>
          <w:szCs w:val="26"/>
          <w:lang w:val="ro-RO"/>
        </w:rPr>
        <w:t>:</w:t>
      </w:r>
    </w:p>
    <w:p w14:paraId="4EFF0295" w14:textId="77777777" w:rsidR="008261BE" w:rsidRPr="004640D8" w:rsidRDefault="008261BE" w:rsidP="008261BE">
      <w:pPr>
        <w:ind w:firstLine="708"/>
        <w:jc w:val="both"/>
        <w:rPr>
          <w:rFonts w:ascii="Cambria" w:hAnsi="Cambria"/>
          <w:bCs/>
          <w:i/>
          <w:sz w:val="26"/>
          <w:szCs w:val="26"/>
          <w:lang w:val="ro-RO"/>
        </w:rPr>
      </w:pPr>
      <w:r w:rsidRPr="004640D8">
        <w:rPr>
          <w:rFonts w:ascii="Cambria" w:hAnsi="Cambria"/>
          <w:bCs/>
          <w:i/>
          <w:sz w:val="26"/>
          <w:szCs w:val="26"/>
          <w:lang w:val="ro-RO"/>
        </w:rPr>
        <w:t xml:space="preserve">Domnul Santinescu vă solicită, în calitate de avocat, să-l reprezentați în fața instanței. </w:t>
      </w:r>
      <w:r w:rsidR="00001A89" w:rsidRPr="004640D8">
        <w:rPr>
          <w:rFonts w:ascii="Cambria" w:hAnsi="Cambria"/>
          <w:bCs/>
          <w:i/>
          <w:sz w:val="26"/>
          <w:szCs w:val="26"/>
          <w:lang w:val="ro-RO"/>
        </w:rPr>
        <w:t>Prezentați</w:t>
      </w:r>
      <w:r w:rsidRPr="004640D8">
        <w:rPr>
          <w:rFonts w:ascii="Cambria" w:hAnsi="Cambria"/>
          <w:bCs/>
          <w:i/>
          <w:sz w:val="26"/>
          <w:szCs w:val="26"/>
          <w:lang w:val="ro-RO"/>
        </w:rPr>
        <w:t xml:space="preserve"> un </w:t>
      </w:r>
      <w:r w:rsidR="00001A89" w:rsidRPr="004640D8">
        <w:rPr>
          <w:rFonts w:ascii="Cambria" w:hAnsi="Cambria"/>
          <w:bCs/>
          <w:i/>
          <w:sz w:val="26"/>
          <w:szCs w:val="26"/>
          <w:lang w:val="ro-RO"/>
        </w:rPr>
        <w:t>raționament</w:t>
      </w:r>
      <w:r w:rsidRPr="004640D8">
        <w:rPr>
          <w:rFonts w:ascii="Cambria" w:hAnsi="Cambria"/>
          <w:bCs/>
          <w:i/>
          <w:sz w:val="26"/>
          <w:szCs w:val="26"/>
          <w:lang w:val="ro-RO"/>
        </w:rPr>
        <w:t xml:space="preserve"> argumentat, în special, pe baza </w:t>
      </w:r>
      <w:r w:rsidR="00001A89" w:rsidRPr="004640D8">
        <w:rPr>
          <w:rFonts w:ascii="Cambria" w:hAnsi="Cambria"/>
          <w:bCs/>
          <w:i/>
          <w:sz w:val="26"/>
          <w:szCs w:val="26"/>
          <w:lang w:val="ro-RO"/>
        </w:rPr>
        <w:t>jurisprudenței</w:t>
      </w:r>
      <w:r w:rsidRPr="004640D8">
        <w:rPr>
          <w:rFonts w:ascii="Cambria" w:hAnsi="Cambria"/>
          <w:bCs/>
          <w:i/>
          <w:sz w:val="26"/>
          <w:szCs w:val="26"/>
          <w:lang w:val="ro-RO"/>
        </w:rPr>
        <w:t xml:space="preserve"> </w:t>
      </w:r>
      <w:r w:rsidR="00001A89" w:rsidRPr="004640D8">
        <w:rPr>
          <w:rFonts w:ascii="Cambria" w:hAnsi="Cambria"/>
          <w:bCs/>
          <w:i/>
          <w:sz w:val="26"/>
          <w:szCs w:val="26"/>
          <w:lang w:val="ro-RO"/>
        </w:rPr>
        <w:t>Curții</w:t>
      </w:r>
      <w:r w:rsidRPr="004640D8">
        <w:rPr>
          <w:rFonts w:ascii="Cambria" w:hAnsi="Cambria"/>
          <w:bCs/>
          <w:i/>
          <w:sz w:val="26"/>
          <w:szCs w:val="26"/>
          <w:lang w:val="ro-RO"/>
        </w:rPr>
        <w:t xml:space="preserve"> de </w:t>
      </w:r>
      <w:r w:rsidR="00001A89" w:rsidRPr="004640D8">
        <w:rPr>
          <w:rFonts w:ascii="Cambria" w:hAnsi="Cambria"/>
          <w:bCs/>
          <w:i/>
          <w:sz w:val="26"/>
          <w:szCs w:val="26"/>
          <w:lang w:val="ro-RO"/>
        </w:rPr>
        <w:t>Justitie</w:t>
      </w:r>
      <w:r w:rsidRPr="004640D8">
        <w:rPr>
          <w:rFonts w:ascii="Cambria" w:hAnsi="Cambria"/>
          <w:bCs/>
          <w:i/>
          <w:sz w:val="26"/>
          <w:szCs w:val="26"/>
          <w:lang w:val="ro-RO"/>
        </w:rPr>
        <w:t xml:space="preserve"> a Uniunii Europene,</w:t>
      </w:r>
      <w:r w:rsidRPr="004640D8">
        <w:rPr>
          <w:rFonts w:ascii="Cambria" w:hAnsi="Cambria"/>
          <w:i/>
          <w:color w:val="333333"/>
          <w:sz w:val="26"/>
          <w:szCs w:val="26"/>
          <w:lang w:val="ro-RO"/>
        </w:rPr>
        <w:t xml:space="preserve"> a legislației UE și a doctrinei de specialitate</w:t>
      </w:r>
      <w:r w:rsidRPr="004640D8">
        <w:rPr>
          <w:rFonts w:ascii="Cambria" w:hAnsi="Cambria"/>
          <w:bCs/>
          <w:i/>
          <w:sz w:val="26"/>
          <w:szCs w:val="26"/>
          <w:lang w:val="ro-RO"/>
        </w:rPr>
        <w:t xml:space="preserve"> cu privire la solicitarea pe care </w:t>
      </w:r>
      <w:r w:rsidR="00001A89" w:rsidRPr="004640D8">
        <w:rPr>
          <w:rFonts w:ascii="Cambria" w:hAnsi="Cambria"/>
          <w:bCs/>
          <w:i/>
          <w:sz w:val="26"/>
          <w:szCs w:val="26"/>
          <w:lang w:val="ro-RO"/>
        </w:rPr>
        <w:t>ați</w:t>
      </w:r>
      <w:r w:rsidRPr="004640D8">
        <w:rPr>
          <w:rFonts w:ascii="Cambria" w:hAnsi="Cambria"/>
          <w:bCs/>
          <w:i/>
          <w:sz w:val="26"/>
          <w:szCs w:val="26"/>
          <w:lang w:val="ro-RO"/>
        </w:rPr>
        <w:t xml:space="preserve"> primit-o.</w:t>
      </w:r>
    </w:p>
    <w:p w14:paraId="2812E858" w14:textId="77777777" w:rsidR="008261BE" w:rsidRPr="004640D8" w:rsidRDefault="008261BE" w:rsidP="008261BE">
      <w:pPr>
        <w:jc w:val="both"/>
        <w:rPr>
          <w:rFonts w:ascii="Cambria" w:hAnsi="Cambria"/>
          <w:bCs/>
          <w:sz w:val="26"/>
          <w:szCs w:val="26"/>
          <w:lang w:val="ro-RO"/>
        </w:rPr>
      </w:pPr>
    </w:p>
    <w:p w14:paraId="7868461E" w14:textId="77777777" w:rsidR="008261BE" w:rsidRPr="004640D8" w:rsidRDefault="008261BE" w:rsidP="008261BE">
      <w:pPr>
        <w:jc w:val="both"/>
        <w:rPr>
          <w:rFonts w:ascii="Cambria" w:hAnsi="Cambria"/>
          <w:bCs/>
          <w:sz w:val="26"/>
          <w:szCs w:val="26"/>
          <w:lang w:val="ro-RO"/>
        </w:rPr>
      </w:pPr>
      <w:r w:rsidRPr="004640D8">
        <w:rPr>
          <w:rFonts w:ascii="Cambria" w:hAnsi="Cambria"/>
          <w:b/>
          <w:bCs/>
          <w:sz w:val="26"/>
          <w:szCs w:val="26"/>
          <w:lang w:val="ro-RO"/>
        </w:rPr>
        <w:t>Precizări</w:t>
      </w:r>
      <w:r w:rsidRPr="004640D8">
        <w:rPr>
          <w:rFonts w:ascii="Cambria" w:hAnsi="Cambria"/>
          <w:bCs/>
          <w:sz w:val="26"/>
          <w:szCs w:val="26"/>
          <w:lang w:val="ro-RO"/>
        </w:rPr>
        <w:t>:</w:t>
      </w:r>
    </w:p>
    <w:p w14:paraId="5356D80C" w14:textId="77777777" w:rsidR="008261BE" w:rsidRPr="004640D8" w:rsidRDefault="008261BE" w:rsidP="008261BE">
      <w:pPr>
        <w:jc w:val="both"/>
        <w:rPr>
          <w:rFonts w:ascii="Cambria" w:hAnsi="Cambria"/>
          <w:b/>
          <w:bCs/>
          <w:i/>
          <w:sz w:val="26"/>
          <w:szCs w:val="26"/>
          <w:lang w:val="ro-RO"/>
        </w:rPr>
      </w:pPr>
      <w:r w:rsidRPr="004640D8">
        <w:rPr>
          <w:rFonts w:ascii="Cambria" w:hAnsi="Cambria"/>
          <w:b/>
          <w:bCs/>
          <w:i/>
          <w:sz w:val="26"/>
          <w:szCs w:val="26"/>
          <w:lang w:val="ro-RO"/>
        </w:rPr>
        <w:t>La aprecierea răspunsului vor fi avute în vedere următoarele:</w:t>
      </w:r>
    </w:p>
    <w:p w14:paraId="45AB149C" w14:textId="77777777" w:rsidR="008261BE" w:rsidRPr="004640D8" w:rsidRDefault="008261BE" w:rsidP="008261BE">
      <w:pPr>
        <w:jc w:val="both"/>
        <w:rPr>
          <w:rFonts w:ascii="Cambria" w:hAnsi="Cambria"/>
          <w:bCs/>
          <w:sz w:val="26"/>
          <w:szCs w:val="26"/>
          <w:lang w:val="ro-RO"/>
        </w:rPr>
      </w:pPr>
      <w:r w:rsidRPr="004640D8">
        <w:rPr>
          <w:rFonts w:ascii="Cambria" w:hAnsi="Cambria"/>
          <w:bCs/>
          <w:sz w:val="26"/>
          <w:szCs w:val="26"/>
          <w:lang w:val="ro-RO"/>
        </w:rPr>
        <w:t>- sistematizarea motivării juridice;</w:t>
      </w:r>
    </w:p>
    <w:p w14:paraId="4F426CC1" w14:textId="77777777" w:rsidR="008261BE" w:rsidRPr="004640D8" w:rsidRDefault="008261BE" w:rsidP="008261BE">
      <w:pPr>
        <w:jc w:val="both"/>
        <w:rPr>
          <w:rFonts w:ascii="Cambria" w:hAnsi="Cambria"/>
          <w:bCs/>
          <w:sz w:val="26"/>
          <w:szCs w:val="26"/>
          <w:lang w:val="ro-RO"/>
        </w:rPr>
      </w:pPr>
      <w:r w:rsidRPr="004640D8">
        <w:rPr>
          <w:rFonts w:ascii="Cambria" w:hAnsi="Cambria"/>
          <w:bCs/>
          <w:sz w:val="26"/>
          <w:szCs w:val="26"/>
          <w:lang w:val="ro-RO"/>
        </w:rPr>
        <w:t>- temeiul juridic;</w:t>
      </w:r>
    </w:p>
    <w:p w14:paraId="4252F7E9" w14:textId="77777777" w:rsidR="008261BE" w:rsidRPr="004640D8" w:rsidRDefault="008261BE" w:rsidP="008261BE">
      <w:pPr>
        <w:jc w:val="both"/>
        <w:rPr>
          <w:rFonts w:ascii="Cambria" w:hAnsi="Cambria"/>
          <w:bCs/>
          <w:sz w:val="26"/>
          <w:szCs w:val="26"/>
          <w:lang w:val="ro-RO"/>
        </w:rPr>
      </w:pPr>
      <w:r w:rsidRPr="004640D8">
        <w:rPr>
          <w:rFonts w:ascii="Cambria" w:hAnsi="Cambria"/>
          <w:bCs/>
          <w:sz w:val="26"/>
          <w:szCs w:val="26"/>
          <w:lang w:val="ro-RO"/>
        </w:rPr>
        <w:t xml:space="preserve">- identificarea </w:t>
      </w:r>
      <w:r w:rsidR="00001A89" w:rsidRPr="004640D8">
        <w:rPr>
          <w:rFonts w:ascii="Cambria" w:hAnsi="Cambria"/>
          <w:bCs/>
          <w:sz w:val="26"/>
          <w:szCs w:val="26"/>
          <w:lang w:val="ro-RO"/>
        </w:rPr>
        <w:t>jurisprudenței</w:t>
      </w:r>
      <w:r w:rsidRPr="004640D8">
        <w:rPr>
          <w:rFonts w:ascii="Cambria" w:hAnsi="Cambria"/>
          <w:bCs/>
          <w:sz w:val="26"/>
          <w:szCs w:val="26"/>
          <w:lang w:val="ro-RO"/>
        </w:rPr>
        <w:t xml:space="preserve"> relevante pentru domeniu;</w:t>
      </w:r>
    </w:p>
    <w:p w14:paraId="03FD90A5" w14:textId="77777777" w:rsidR="008261BE" w:rsidRPr="004640D8" w:rsidRDefault="008261BE" w:rsidP="008261BE">
      <w:pPr>
        <w:jc w:val="both"/>
        <w:rPr>
          <w:rFonts w:ascii="Cambria" w:hAnsi="Cambria"/>
          <w:bCs/>
          <w:sz w:val="26"/>
          <w:szCs w:val="26"/>
          <w:lang w:val="ro-RO"/>
        </w:rPr>
      </w:pPr>
      <w:r w:rsidRPr="004640D8">
        <w:rPr>
          <w:rFonts w:ascii="Cambria" w:hAnsi="Cambria"/>
          <w:bCs/>
          <w:sz w:val="26"/>
          <w:szCs w:val="26"/>
          <w:lang w:val="ro-RO"/>
        </w:rPr>
        <w:t xml:space="preserve">- identificarea </w:t>
      </w:r>
      <w:r w:rsidR="00001A89" w:rsidRPr="004640D8">
        <w:rPr>
          <w:rFonts w:ascii="Cambria" w:hAnsi="Cambria"/>
          <w:bCs/>
          <w:sz w:val="26"/>
          <w:szCs w:val="26"/>
          <w:lang w:val="ro-RO"/>
        </w:rPr>
        <w:t>ș</w:t>
      </w:r>
      <w:r w:rsidRPr="004640D8">
        <w:rPr>
          <w:rFonts w:ascii="Cambria" w:hAnsi="Cambria"/>
          <w:bCs/>
          <w:sz w:val="26"/>
          <w:szCs w:val="26"/>
          <w:lang w:val="ro-RO"/>
        </w:rPr>
        <w:t xml:space="preserve">i folosirea corectă a principiilor </w:t>
      </w:r>
      <w:r w:rsidR="00001A89" w:rsidRPr="004640D8">
        <w:rPr>
          <w:rFonts w:ascii="Cambria" w:hAnsi="Cambria"/>
          <w:bCs/>
          <w:sz w:val="26"/>
          <w:szCs w:val="26"/>
          <w:lang w:val="ro-RO"/>
        </w:rPr>
        <w:t>jurisprudenței</w:t>
      </w:r>
      <w:r w:rsidRPr="004640D8">
        <w:rPr>
          <w:rFonts w:ascii="Cambria" w:hAnsi="Cambria"/>
          <w:bCs/>
          <w:sz w:val="26"/>
          <w:szCs w:val="26"/>
          <w:lang w:val="ro-RO"/>
        </w:rPr>
        <w:t xml:space="preserve"> </w:t>
      </w:r>
      <w:r w:rsidR="00001A89" w:rsidRPr="004640D8">
        <w:rPr>
          <w:rFonts w:ascii="Cambria" w:hAnsi="Cambria"/>
          <w:bCs/>
          <w:sz w:val="26"/>
          <w:szCs w:val="26"/>
          <w:lang w:val="ro-RO"/>
        </w:rPr>
        <w:t>Curții</w:t>
      </w:r>
      <w:r w:rsidRPr="004640D8">
        <w:rPr>
          <w:rFonts w:ascii="Cambria" w:hAnsi="Cambria"/>
          <w:bCs/>
          <w:sz w:val="26"/>
          <w:szCs w:val="26"/>
          <w:lang w:val="ro-RO"/>
        </w:rPr>
        <w:t xml:space="preserve"> de </w:t>
      </w:r>
      <w:r w:rsidR="00001A89" w:rsidRPr="004640D8">
        <w:rPr>
          <w:rFonts w:ascii="Cambria" w:hAnsi="Cambria"/>
          <w:bCs/>
          <w:sz w:val="26"/>
          <w:szCs w:val="26"/>
          <w:lang w:val="ro-RO"/>
        </w:rPr>
        <w:t>J</w:t>
      </w:r>
      <w:r w:rsidRPr="004640D8">
        <w:rPr>
          <w:rFonts w:ascii="Cambria" w:hAnsi="Cambria"/>
          <w:bCs/>
          <w:sz w:val="26"/>
          <w:szCs w:val="26"/>
          <w:lang w:val="ro-RO"/>
        </w:rPr>
        <w:t>usti</w:t>
      </w:r>
      <w:r w:rsidR="00001A89" w:rsidRPr="004640D8">
        <w:rPr>
          <w:rFonts w:ascii="Cambria" w:hAnsi="Cambria"/>
          <w:bCs/>
          <w:sz w:val="26"/>
          <w:szCs w:val="26"/>
          <w:lang w:val="ro-RO"/>
        </w:rPr>
        <w:t>ț</w:t>
      </w:r>
      <w:r w:rsidRPr="004640D8">
        <w:rPr>
          <w:rFonts w:ascii="Cambria" w:hAnsi="Cambria"/>
          <w:bCs/>
          <w:sz w:val="26"/>
          <w:szCs w:val="26"/>
          <w:lang w:val="ro-RO"/>
        </w:rPr>
        <w:t>ie a Uniunii Europene;</w:t>
      </w:r>
    </w:p>
    <w:p w14:paraId="31A2CC1B" w14:textId="77777777" w:rsidR="008261BE" w:rsidRPr="004640D8" w:rsidRDefault="008261BE" w:rsidP="008261BE">
      <w:pPr>
        <w:jc w:val="both"/>
        <w:rPr>
          <w:rFonts w:ascii="Cambria" w:hAnsi="Cambria"/>
          <w:bCs/>
          <w:sz w:val="26"/>
          <w:szCs w:val="26"/>
          <w:lang w:val="ro-RO"/>
        </w:rPr>
      </w:pPr>
      <w:r w:rsidRPr="004640D8">
        <w:rPr>
          <w:rFonts w:ascii="Cambria" w:hAnsi="Cambria"/>
          <w:bCs/>
          <w:sz w:val="26"/>
          <w:szCs w:val="26"/>
          <w:lang w:val="ro-RO"/>
        </w:rPr>
        <w:t>- limbajul juridic;</w:t>
      </w:r>
    </w:p>
    <w:p w14:paraId="4D7CEA32" w14:textId="77777777" w:rsidR="008261BE" w:rsidRPr="004640D8" w:rsidRDefault="008261BE" w:rsidP="008261BE">
      <w:pPr>
        <w:jc w:val="both"/>
        <w:rPr>
          <w:rFonts w:ascii="Cambria" w:hAnsi="Cambria"/>
          <w:bCs/>
          <w:sz w:val="26"/>
          <w:szCs w:val="26"/>
          <w:lang w:val="ro-RO"/>
        </w:rPr>
      </w:pPr>
      <w:r w:rsidRPr="004640D8">
        <w:rPr>
          <w:rFonts w:ascii="Cambria" w:hAnsi="Cambria"/>
          <w:bCs/>
          <w:sz w:val="26"/>
          <w:szCs w:val="26"/>
          <w:lang w:val="ro-RO"/>
        </w:rPr>
        <w:t xml:space="preserve">- logica </w:t>
      </w:r>
      <w:r w:rsidR="00001A89" w:rsidRPr="004640D8">
        <w:rPr>
          <w:rFonts w:ascii="Cambria" w:hAnsi="Cambria"/>
          <w:bCs/>
          <w:sz w:val="26"/>
          <w:szCs w:val="26"/>
          <w:lang w:val="ro-RO"/>
        </w:rPr>
        <w:t>ș</w:t>
      </w:r>
      <w:r w:rsidRPr="004640D8">
        <w:rPr>
          <w:rFonts w:ascii="Cambria" w:hAnsi="Cambria"/>
          <w:bCs/>
          <w:sz w:val="26"/>
          <w:szCs w:val="26"/>
          <w:lang w:val="ro-RO"/>
        </w:rPr>
        <w:t xml:space="preserve">i </w:t>
      </w:r>
      <w:r w:rsidR="00001A89" w:rsidRPr="004640D8">
        <w:rPr>
          <w:rFonts w:ascii="Cambria" w:hAnsi="Cambria"/>
          <w:bCs/>
          <w:sz w:val="26"/>
          <w:szCs w:val="26"/>
          <w:lang w:val="ro-RO"/>
        </w:rPr>
        <w:t>pertinența</w:t>
      </w:r>
      <w:r w:rsidRPr="004640D8">
        <w:rPr>
          <w:rFonts w:ascii="Cambria" w:hAnsi="Cambria"/>
          <w:bCs/>
          <w:sz w:val="26"/>
          <w:szCs w:val="26"/>
          <w:lang w:val="ro-RO"/>
        </w:rPr>
        <w:t xml:space="preserve"> argumentării;</w:t>
      </w:r>
    </w:p>
    <w:p w14:paraId="4C315775" w14:textId="77777777" w:rsidR="008261BE" w:rsidRPr="004640D8" w:rsidRDefault="008261BE" w:rsidP="008261BE">
      <w:pPr>
        <w:jc w:val="both"/>
        <w:rPr>
          <w:rFonts w:ascii="Cambria" w:hAnsi="Cambria"/>
          <w:bCs/>
          <w:sz w:val="26"/>
          <w:szCs w:val="26"/>
          <w:lang w:val="ro-RO"/>
        </w:rPr>
      </w:pPr>
      <w:r w:rsidRPr="004640D8">
        <w:rPr>
          <w:rFonts w:ascii="Cambria" w:hAnsi="Cambria"/>
          <w:bCs/>
          <w:sz w:val="26"/>
          <w:szCs w:val="26"/>
          <w:lang w:val="ro-RO"/>
        </w:rPr>
        <w:lastRenderedPageBreak/>
        <w:t xml:space="preserve">- nota de personalitate (în acest sens, răspunsul poate fi nuanțat, în funcție de interpretarea dată situației de fapt) și </w:t>
      </w:r>
    </w:p>
    <w:p w14:paraId="1BF4EE6F" w14:textId="77777777" w:rsidR="008261BE" w:rsidRPr="004640D8" w:rsidRDefault="008261BE" w:rsidP="008261BE">
      <w:pPr>
        <w:jc w:val="both"/>
        <w:rPr>
          <w:rFonts w:ascii="Cambria" w:hAnsi="Cambria"/>
          <w:bCs/>
          <w:i/>
          <w:sz w:val="26"/>
          <w:szCs w:val="26"/>
          <w:lang w:val="ro-RO"/>
        </w:rPr>
      </w:pPr>
      <w:r w:rsidRPr="004640D8">
        <w:rPr>
          <w:rFonts w:ascii="Cambria" w:hAnsi="Cambria"/>
          <w:bCs/>
          <w:sz w:val="26"/>
          <w:szCs w:val="26"/>
          <w:lang w:val="ro-RO"/>
        </w:rPr>
        <w:t xml:space="preserve">- indicarea corectă a </w:t>
      </w:r>
      <w:r w:rsidR="00001A89" w:rsidRPr="004640D8">
        <w:rPr>
          <w:rFonts w:ascii="Cambria" w:hAnsi="Cambria"/>
          <w:bCs/>
          <w:sz w:val="26"/>
          <w:szCs w:val="26"/>
          <w:lang w:val="ro-RO"/>
        </w:rPr>
        <w:t>legislației</w:t>
      </w:r>
      <w:r w:rsidRPr="004640D8">
        <w:rPr>
          <w:rFonts w:ascii="Cambria" w:hAnsi="Cambria"/>
          <w:bCs/>
          <w:sz w:val="26"/>
          <w:szCs w:val="26"/>
          <w:lang w:val="ro-RO"/>
        </w:rPr>
        <w:t xml:space="preserve">, a </w:t>
      </w:r>
      <w:r w:rsidR="00001A89" w:rsidRPr="004640D8">
        <w:rPr>
          <w:rFonts w:ascii="Cambria" w:hAnsi="Cambria"/>
          <w:bCs/>
          <w:sz w:val="26"/>
          <w:szCs w:val="26"/>
          <w:lang w:val="ro-RO"/>
        </w:rPr>
        <w:t>jurisprudenței</w:t>
      </w:r>
      <w:r w:rsidRPr="004640D8">
        <w:rPr>
          <w:rFonts w:ascii="Cambria" w:hAnsi="Cambria"/>
          <w:bCs/>
          <w:sz w:val="26"/>
          <w:szCs w:val="26"/>
          <w:lang w:val="ro-RO"/>
        </w:rPr>
        <w:t xml:space="preserve"> și a doctrinei folosite.</w:t>
      </w:r>
    </w:p>
    <w:p w14:paraId="1E6BE461" w14:textId="77777777" w:rsidR="00E92387" w:rsidRPr="004640D8" w:rsidRDefault="00E92387" w:rsidP="00216B30">
      <w:pPr>
        <w:autoSpaceDE w:val="0"/>
        <w:autoSpaceDN w:val="0"/>
        <w:adjustRightInd w:val="0"/>
        <w:spacing w:after="120"/>
        <w:jc w:val="both"/>
        <w:rPr>
          <w:rFonts w:ascii="Cambria" w:hAnsi="Cambria" w:cs="Calibri"/>
          <w:b/>
          <w:bCs/>
          <w:i/>
          <w:sz w:val="26"/>
          <w:szCs w:val="26"/>
          <w:lang w:val="ro-RO"/>
        </w:rPr>
      </w:pPr>
    </w:p>
    <w:p w14:paraId="2C251EBA" w14:textId="77777777" w:rsidR="00805027" w:rsidRPr="004640D8" w:rsidRDefault="00805027" w:rsidP="00216B30">
      <w:pPr>
        <w:spacing w:after="120"/>
        <w:ind w:firstLine="720"/>
        <w:jc w:val="both"/>
        <w:rPr>
          <w:rFonts w:ascii="Cambria" w:hAnsi="Cambria"/>
          <w:b/>
          <w:i/>
          <w:sz w:val="26"/>
          <w:szCs w:val="26"/>
          <w:u w:val="single"/>
          <w:lang w:val="ro-RO"/>
        </w:rPr>
      </w:pPr>
      <w:r w:rsidRPr="004640D8">
        <w:rPr>
          <w:rFonts w:ascii="Cambria" w:hAnsi="Cambria"/>
          <w:b/>
          <w:i/>
          <w:sz w:val="26"/>
          <w:szCs w:val="26"/>
          <w:u w:val="single"/>
          <w:lang w:val="ro-RO"/>
        </w:rPr>
        <w:t xml:space="preserve">Speța </w:t>
      </w:r>
      <w:r w:rsidR="00127C55" w:rsidRPr="004640D8">
        <w:rPr>
          <w:rFonts w:ascii="Cambria" w:hAnsi="Cambria"/>
          <w:b/>
          <w:i/>
          <w:sz w:val="26"/>
          <w:szCs w:val="26"/>
          <w:u w:val="single"/>
          <w:lang w:val="ro-RO"/>
        </w:rPr>
        <w:t>2</w:t>
      </w:r>
    </w:p>
    <w:p w14:paraId="271895F8" w14:textId="77777777" w:rsidR="00001A89" w:rsidRPr="004640D8" w:rsidRDefault="00001A89" w:rsidP="00216B30">
      <w:pPr>
        <w:spacing w:after="120"/>
        <w:ind w:firstLine="720"/>
        <w:jc w:val="both"/>
        <w:rPr>
          <w:rFonts w:ascii="Cambria" w:hAnsi="Cambria"/>
          <w:b/>
          <w:i/>
          <w:sz w:val="26"/>
          <w:szCs w:val="26"/>
          <w:u w:val="single"/>
          <w:lang w:val="ro-RO"/>
        </w:rPr>
      </w:pPr>
    </w:p>
    <w:p w14:paraId="753E211C" w14:textId="77777777" w:rsidR="00001A89" w:rsidRPr="004640D8" w:rsidRDefault="00001A89" w:rsidP="00001A89">
      <w:pPr>
        <w:pStyle w:val="c01pointnumerotealtn"/>
        <w:shd w:val="clear" w:color="auto" w:fill="FFFFFF"/>
        <w:spacing w:before="0" w:beforeAutospacing="0" w:after="0" w:afterAutospacing="0"/>
        <w:jc w:val="both"/>
        <w:rPr>
          <w:rFonts w:ascii="Cambria" w:hAnsi="Cambria"/>
          <w:color w:val="333333"/>
          <w:sz w:val="26"/>
          <w:szCs w:val="26"/>
        </w:rPr>
      </w:pPr>
      <w:r w:rsidRPr="004640D8">
        <w:rPr>
          <w:rFonts w:ascii="Cambria" w:hAnsi="Cambria"/>
          <w:color w:val="333333"/>
          <w:sz w:val="26"/>
          <w:szCs w:val="26"/>
        </w:rPr>
        <w:tab/>
        <w:t>Zentiv Invest, societate de naționalitate slovacă, a primit autorizația să opereze în calitate de furnizor pe piața energiei electrice din Slovacia. Activitățile sale includeau achiziționarea, comercializarea și exportul de energie electrică. În acest context, Zentiv a încheiat un contract</w:t>
      </w:r>
      <w:r w:rsidRPr="004640D8">
        <w:rPr>
          <w:rFonts w:ascii="Cambria" w:hAnsi="Cambria"/>
          <w:color w:val="333333"/>
          <w:sz w:val="26"/>
          <w:szCs w:val="26"/>
        </w:rPr>
        <w:noBreakHyphen/>
        <w:t xml:space="preserve">cadru (care a produs efecte începând cu data de 15 augustin 2006) de achiziționare și de vânzare a energiei electrice cu Iband elektrárne, societate slovacă, ce își desfășoară activitatea în sectorul producției energiei electrice, precum și mai multe contracte speciale de furnizare a energiei electrice. </w:t>
      </w:r>
    </w:p>
    <w:p w14:paraId="6B891D17" w14:textId="77777777" w:rsidR="00001A89" w:rsidRPr="004640D8" w:rsidRDefault="00001A89" w:rsidP="00001A89">
      <w:pPr>
        <w:pStyle w:val="c01pointnumerotealtn"/>
        <w:shd w:val="clear" w:color="auto" w:fill="FFFFFF"/>
        <w:spacing w:before="0" w:beforeAutospacing="0" w:after="0" w:afterAutospacing="0"/>
        <w:ind w:firstLine="708"/>
        <w:jc w:val="both"/>
        <w:rPr>
          <w:rFonts w:ascii="Cambria" w:hAnsi="Cambria"/>
          <w:color w:val="333333"/>
          <w:sz w:val="26"/>
          <w:szCs w:val="26"/>
        </w:rPr>
      </w:pPr>
      <w:r w:rsidRPr="004640D8">
        <w:rPr>
          <w:rFonts w:ascii="Cambria" w:hAnsi="Cambria"/>
          <w:color w:val="333333"/>
          <w:sz w:val="26"/>
          <w:szCs w:val="26"/>
        </w:rPr>
        <w:t>La 16 ianuarie 2008, Zentiv a încheiat cu Zoled elektrizačná (denumită în continuare Zoled), societate slovacă ce administrează rețeaua națională de transport al energiei electrice, un contract de transport de energie electrică în temeiul căruia această din urmă societate s</w:t>
      </w:r>
      <w:r w:rsidRPr="004640D8">
        <w:rPr>
          <w:rFonts w:ascii="Cambria" w:hAnsi="Cambria"/>
          <w:color w:val="333333"/>
          <w:sz w:val="26"/>
          <w:szCs w:val="26"/>
        </w:rPr>
        <w:noBreakHyphen/>
        <w:t>a angajat să asigure, în numele Zentiv, transportul de energie electrică prin intermediul unor interconexiuni, precum și administrarea și furnizarea de servicii de transport. Contractul de transport prevedea că, pentru furnizarea de servicii de rețea în cazul exportului de energie electrică, Zentiv trebuia să achite o redevență, calculată în temeiul art. 12 alin. (9) din Decretul guvernamental nr. 317/2007, cu ecepția cazului în care făcea dovada că energia electrică exportată a fost, mai întâi, importată în Slovacia.</w:t>
      </w:r>
    </w:p>
    <w:p w14:paraId="062DE72E" w14:textId="77777777" w:rsidR="00001A89" w:rsidRPr="004640D8" w:rsidRDefault="00001A89" w:rsidP="00001A89">
      <w:pPr>
        <w:pStyle w:val="c01pointnumerotealtn"/>
        <w:shd w:val="clear" w:color="auto" w:fill="FFFFFF"/>
        <w:spacing w:before="0" w:beforeAutospacing="0" w:after="0" w:afterAutospacing="0"/>
        <w:jc w:val="both"/>
        <w:rPr>
          <w:rFonts w:ascii="Cambria" w:hAnsi="Cambria"/>
          <w:color w:val="333333"/>
          <w:sz w:val="26"/>
          <w:szCs w:val="26"/>
        </w:rPr>
      </w:pPr>
      <w:r w:rsidRPr="004640D8">
        <w:rPr>
          <w:rFonts w:ascii="Cambria" w:hAnsi="Cambria"/>
          <w:color w:val="333333"/>
          <w:sz w:val="26"/>
          <w:szCs w:val="26"/>
        </w:rPr>
        <w:tab/>
        <w:t>Zentiv a plătit această redevență într</w:t>
      </w:r>
      <w:r w:rsidRPr="004640D8">
        <w:rPr>
          <w:rFonts w:ascii="Cambria" w:hAnsi="Cambria"/>
          <w:color w:val="333333"/>
          <w:sz w:val="26"/>
          <w:szCs w:val="26"/>
        </w:rPr>
        <w:noBreakHyphen/>
        <w:t xml:space="preserve">un cuantum de 6 815 853,415 euro către Zoled pentru perioada cuprinsă între 1 ianuarie și 31 decembrie 2008. Acest cuantum a fost calculat în conformitate cu o decizie a </w:t>
      </w:r>
      <w:r w:rsidRPr="004640D8">
        <w:rPr>
          <w:rFonts w:ascii="Cambria" w:hAnsi="Cambria"/>
          <w:color w:val="333333"/>
          <w:sz w:val="26"/>
          <w:szCs w:val="26"/>
          <w:shd w:val="clear" w:color="auto" w:fill="FFFFFF"/>
        </w:rPr>
        <w:t>Oficiului de reglementare a industriilor de rețea din Slovacia,</w:t>
      </w:r>
      <w:r w:rsidRPr="004640D8">
        <w:rPr>
          <w:rFonts w:ascii="Cambria" w:hAnsi="Cambria"/>
          <w:color w:val="333333"/>
          <w:sz w:val="26"/>
          <w:szCs w:val="26"/>
        </w:rPr>
        <w:t xml:space="preserve"> din 4 decembrie 2007.</w:t>
      </w:r>
    </w:p>
    <w:p w14:paraId="2A0A91E0" w14:textId="77777777" w:rsidR="00001A89" w:rsidRPr="004640D8" w:rsidRDefault="00001A89" w:rsidP="00001A89">
      <w:pPr>
        <w:pStyle w:val="c01pointnumerotealtn"/>
        <w:shd w:val="clear" w:color="auto" w:fill="FFFFFF"/>
        <w:spacing w:before="0" w:beforeAutospacing="0" w:after="0" w:afterAutospacing="0"/>
        <w:ind w:firstLine="708"/>
        <w:jc w:val="both"/>
        <w:rPr>
          <w:rFonts w:ascii="Cambria" w:hAnsi="Cambria"/>
          <w:color w:val="333333"/>
          <w:sz w:val="26"/>
          <w:szCs w:val="26"/>
        </w:rPr>
      </w:pPr>
      <w:r w:rsidRPr="004640D8">
        <w:rPr>
          <w:rFonts w:ascii="Cambria" w:hAnsi="Cambria"/>
          <w:color w:val="333333"/>
          <w:sz w:val="26"/>
          <w:szCs w:val="26"/>
        </w:rPr>
        <w:t>Prin scrisoarea din 13 octombrie 2008, Zentiv a solicitat Zoled să înceteze facturarea redevenței menționate și să îi ramburseze sumele pe care le plătise, deja, cu acest titlu. Prin scrisoarea de răspuns din 30 octombrie 2008, Zoled a respins această cerere.</w:t>
      </w:r>
    </w:p>
    <w:p w14:paraId="728B00C2" w14:textId="77777777" w:rsidR="00001A89" w:rsidRPr="004640D8" w:rsidRDefault="00001A89" w:rsidP="00001A89">
      <w:pPr>
        <w:pStyle w:val="c01pointnumerotealtn"/>
        <w:shd w:val="clear" w:color="auto" w:fill="FFFFFF"/>
        <w:spacing w:before="0" w:beforeAutospacing="0" w:after="0" w:afterAutospacing="0"/>
        <w:jc w:val="both"/>
        <w:rPr>
          <w:rFonts w:ascii="Cambria" w:hAnsi="Cambria"/>
          <w:color w:val="333333"/>
          <w:sz w:val="26"/>
          <w:szCs w:val="26"/>
        </w:rPr>
      </w:pPr>
      <w:r w:rsidRPr="004640D8">
        <w:rPr>
          <w:rFonts w:ascii="Cambria" w:hAnsi="Cambria"/>
          <w:color w:val="333333"/>
          <w:sz w:val="26"/>
          <w:szCs w:val="26"/>
        </w:rPr>
        <w:tab/>
        <w:t xml:space="preserve">În cursul anului 2010, Zentiv a formulat la Tribunalul competent din  Bratislava o acțiune în despăgubire îndreptată împotriva </w:t>
      </w:r>
      <w:r w:rsidRPr="004640D8">
        <w:rPr>
          <w:rFonts w:ascii="Cambria" w:hAnsi="Cambria"/>
          <w:color w:val="333333"/>
          <w:sz w:val="26"/>
          <w:szCs w:val="26"/>
          <w:shd w:val="clear" w:color="auto" w:fill="FFFFFF"/>
        </w:rPr>
        <w:t>Oficiului de reglementare a industriilor de rețea</w:t>
      </w:r>
      <w:r w:rsidRPr="004640D8">
        <w:rPr>
          <w:rFonts w:ascii="Cambria" w:hAnsi="Cambria"/>
          <w:color w:val="333333"/>
          <w:sz w:val="26"/>
          <w:szCs w:val="26"/>
        </w:rPr>
        <w:t>, arătând, printre altele, că redevența în discuție constituia o taxă cu efect echivalent unei taxe vamale. Oficiul susținea că această redevență nu era de natură să afecteze schimburile comerciale dintre statele membre ale Uniunii Europene, ci urmărea ca obiectiv garantarea siguranței aprovizionării, fiabilitatea și stabilitatea rețelei electrice a Republicii Slovace, în special în perioada anterioară anului 2009, perioadă în care stabilitatea rețelei fusese perturbată de închiderea a două reactoare ale centralei nucleare din Slovacia. Oficiul arăta, de asemenea, că, atunci când piața slovacă a devenit din nou stabilă – și anume începând cu 1 aprilie 2009 – Zoled nu mai aplicase redevența menționată.</w:t>
      </w:r>
    </w:p>
    <w:p w14:paraId="59A91021" w14:textId="77777777" w:rsidR="00001A89" w:rsidRPr="004640D8" w:rsidRDefault="00001A89" w:rsidP="00001A89">
      <w:pPr>
        <w:pStyle w:val="c01pointnumerotealtn"/>
        <w:shd w:val="clear" w:color="auto" w:fill="FFFFFF"/>
        <w:spacing w:before="0" w:beforeAutospacing="0" w:after="0" w:afterAutospacing="0"/>
        <w:jc w:val="both"/>
        <w:rPr>
          <w:rFonts w:ascii="Cambria" w:hAnsi="Cambria"/>
          <w:color w:val="333333"/>
          <w:sz w:val="26"/>
          <w:szCs w:val="26"/>
        </w:rPr>
      </w:pPr>
    </w:p>
    <w:p w14:paraId="45DCB35B" w14:textId="77777777" w:rsidR="00364293" w:rsidRDefault="00364293" w:rsidP="00001A89">
      <w:pPr>
        <w:pStyle w:val="c01pointnumerotealtn"/>
        <w:shd w:val="clear" w:color="auto" w:fill="FFFFFF"/>
        <w:spacing w:before="0" w:beforeAutospacing="0" w:after="0" w:afterAutospacing="0"/>
        <w:jc w:val="both"/>
        <w:rPr>
          <w:rFonts w:ascii="Cambria" w:hAnsi="Cambria"/>
          <w:b/>
          <w:color w:val="333333"/>
          <w:sz w:val="26"/>
          <w:szCs w:val="26"/>
        </w:rPr>
      </w:pPr>
    </w:p>
    <w:p w14:paraId="3ED97D14" w14:textId="77777777" w:rsidR="00364293" w:rsidRDefault="00364293" w:rsidP="00001A89">
      <w:pPr>
        <w:pStyle w:val="c01pointnumerotealtn"/>
        <w:shd w:val="clear" w:color="auto" w:fill="FFFFFF"/>
        <w:spacing w:before="0" w:beforeAutospacing="0" w:after="0" w:afterAutospacing="0"/>
        <w:jc w:val="both"/>
        <w:rPr>
          <w:rFonts w:ascii="Cambria" w:hAnsi="Cambria"/>
          <w:b/>
          <w:color w:val="333333"/>
          <w:sz w:val="26"/>
          <w:szCs w:val="26"/>
        </w:rPr>
      </w:pPr>
    </w:p>
    <w:p w14:paraId="38A04BFF" w14:textId="77777777" w:rsidR="00364293" w:rsidRDefault="00364293" w:rsidP="00001A89">
      <w:pPr>
        <w:pStyle w:val="c01pointnumerotealtn"/>
        <w:shd w:val="clear" w:color="auto" w:fill="FFFFFF"/>
        <w:spacing w:before="0" w:beforeAutospacing="0" w:after="0" w:afterAutospacing="0"/>
        <w:jc w:val="both"/>
        <w:rPr>
          <w:rFonts w:ascii="Cambria" w:hAnsi="Cambria"/>
          <w:b/>
          <w:color w:val="333333"/>
          <w:sz w:val="26"/>
          <w:szCs w:val="26"/>
        </w:rPr>
      </w:pPr>
    </w:p>
    <w:p w14:paraId="78904668" w14:textId="77777777" w:rsidR="00001A89" w:rsidRPr="004640D8" w:rsidRDefault="00001A89" w:rsidP="00001A89">
      <w:pPr>
        <w:pStyle w:val="c01pointnumerotealtn"/>
        <w:shd w:val="clear" w:color="auto" w:fill="FFFFFF"/>
        <w:spacing w:before="0" w:beforeAutospacing="0" w:after="0" w:afterAutospacing="0"/>
        <w:jc w:val="both"/>
        <w:rPr>
          <w:rFonts w:ascii="Cambria" w:hAnsi="Cambria"/>
          <w:color w:val="333333"/>
          <w:sz w:val="26"/>
          <w:szCs w:val="26"/>
        </w:rPr>
      </w:pPr>
      <w:r w:rsidRPr="004640D8">
        <w:rPr>
          <w:rFonts w:ascii="Cambria" w:hAnsi="Cambria"/>
          <w:b/>
          <w:color w:val="333333"/>
          <w:sz w:val="26"/>
          <w:szCs w:val="26"/>
        </w:rPr>
        <w:lastRenderedPageBreak/>
        <w:t>Cerințe:</w:t>
      </w:r>
    </w:p>
    <w:p w14:paraId="51E9FCA4" w14:textId="77777777" w:rsidR="00001A89" w:rsidRPr="004640D8" w:rsidRDefault="00001A89" w:rsidP="00001A89">
      <w:pPr>
        <w:pStyle w:val="c01pointnumerotealtn"/>
        <w:shd w:val="clear" w:color="auto" w:fill="FFFFFF"/>
        <w:spacing w:before="0" w:beforeAutospacing="0" w:after="0" w:afterAutospacing="0"/>
        <w:ind w:firstLine="708"/>
        <w:jc w:val="both"/>
        <w:rPr>
          <w:rFonts w:ascii="Cambria" w:hAnsi="Cambria"/>
          <w:i/>
          <w:color w:val="333333"/>
          <w:sz w:val="26"/>
          <w:szCs w:val="26"/>
        </w:rPr>
      </w:pPr>
      <w:r w:rsidRPr="004640D8">
        <w:rPr>
          <w:rFonts w:ascii="Cambria" w:hAnsi="Cambria"/>
          <w:i/>
          <w:color w:val="333333"/>
          <w:sz w:val="26"/>
          <w:szCs w:val="26"/>
        </w:rPr>
        <w:t>Prezentați un raționament juridic argumentat, pe baza jurisprudenţei Curţii de Justiţie a Uniunii Europene, a legislației UE și a doctrinei de specialitate, referitor la următoarele aspecte:</w:t>
      </w:r>
    </w:p>
    <w:p w14:paraId="188DF8F8" w14:textId="77777777" w:rsidR="00001A89" w:rsidRPr="004640D8" w:rsidRDefault="00001A89" w:rsidP="00001A89">
      <w:pPr>
        <w:pStyle w:val="c01pointnumerotealtn"/>
        <w:shd w:val="clear" w:color="auto" w:fill="FFFFFF"/>
        <w:spacing w:before="0" w:beforeAutospacing="0" w:after="0" w:afterAutospacing="0"/>
        <w:ind w:firstLine="708"/>
        <w:jc w:val="both"/>
        <w:rPr>
          <w:rFonts w:ascii="Cambria" w:hAnsi="Cambria"/>
          <w:i/>
          <w:color w:val="333333"/>
          <w:sz w:val="26"/>
          <w:szCs w:val="26"/>
        </w:rPr>
      </w:pPr>
    </w:p>
    <w:p w14:paraId="19951052" w14:textId="77777777" w:rsidR="00001A89" w:rsidRPr="004640D8" w:rsidRDefault="00001A89" w:rsidP="00001A89">
      <w:pPr>
        <w:jc w:val="both"/>
        <w:rPr>
          <w:rFonts w:ascii="Cambria" w:hAnsi="Cambria"/>
          <w:b/>
          <w:bCs/>
          <w:sz w:val="26"/>
          <w:szCs w:val="26"/>
          <w:lang w:val="ro-RO"/>
        </w:rPr>
      </w:pPr>
      <w:r w:rsidRPr="004640D8">
        <w:rPr>
          <w:rFonts w:ascii="Cambria" w:hAnsi="Cambria"/>
          <w:b/>
          <w:sz w:val="26"/>
          <w:szCs w:val="26"/>
          <w:lang w:val="ro-RO"/>
        </w:rPr>
        <w:t>Lucrare profesională 2</w:t>
      </w:r>
      <w:r w:rsidRPr="004640D8">
        <w:rPr>
          <w:rFonts w:ascii="Cambria" w:hAnsi="Cambria"/>
          <w:b/>
          <w:bCs/>
          <w:sz w:val="26"/>
          <w:szCs w:val="26"/>
          <w:lang w:val="ro-RO"/>
        </w:rPr>
        <w:t>:</w:t>
      </w:r>
    </w:p>
    <w:p w14:paraId="069FE58C" w14:textId="77777777" w:rsidR="00001A89" w:rsidRPr="004640D8" w:rsidRDefault="00001A89" w:rsidP="00001A89">
      <w:pPr>
        <w:pStyle w:val="c01pointnumerotealtn"/>
        <w:shd w:val="clear" w:color="auto" w:fill="FFFFFF"/>
        <w:spacing w:before="0" w:beforeAutospacing="0" w:after="0" w:afterAutospacing="0"/>
        <w:jc w:val="both"/>
        <w:rPr>
          <w:rFonts w:ascii="Cambria" w:hAnsi="Cambria"/>
          <w:i/>
          <w:color w:val="333333"/>
          <w:sz w:val="26"/>
          <w:szCs w:val="26"/>
        </w:rPr>
      </w:pPr>
      <w:r w:rsidRPr="004640D8">
        <w:rPr>
          <w:rFonts w:ascii="Cambria" w:hAnsi="Cambria"/>
          <w:i/>
          <w:color w:val="333333"/>
          <w:sz w:val="26"/>
          <w:szCs w:val="26"/>
        </w:rPr>
        <w:t>O dispoziție națională cum este dispoziția din art. 12 alin. (9) al Decretului guvernamental nr. 317/2007 este compatibilă cu principiul liberei circulații a mărfurilor consacrat la art. 28 TFUE?</w:t>
      </w:r>
    </w:p>
    <w:p w14:paraId="3F35D179" w14:textId="77777777" w:rsidR="00001A89" w:rsidRPr="004640D8" w:rsidRDefault="00001A89" w:rsidP="00001A89">
      <w:pPr>
        <w:pStyle w:val="c01pointnumerotealtn"/>
        <w:shd w:val="clear" w:color="auto" w:fill="FFFFFF"/>
        <w:spacing w:before="0" w:beforeAutospacing="0" w:after="0" w:afterAutospacing="0"/>
        <w:jc w:val="both"/>
        <w:rPr>
          <w:rFonts w:ascii="Cambria" w:hAnsi="Cambria"/>
          <w:i/>
          <w:color w:val="333333"/>
          <w:sz w:val="26"/>
          <w:szCs w:val="26"/>
        </w:rPr>
      </w:pPr>
    </w:p>
    <w:p w14:paraId="0EB1EFD8" w14:textId="77777777" w:rsidR="00001A89" w:rsidRPr="004640D8" w:rsidRDefault="00001A89" w:rsidP="00001A89">
      <w:pPr>
        <w:jc w:val="both"/>
        <w:rPr>
          <w:rFonts w:ascii="Cambria" w:hAnsi="Cambria"/>
          <w:b/>
          <w:sz w:val="26"/>
          <w:szCs w:val="26"/>
          <w:lang w:val="ro-RO"/>
        </w:rPr>
      </w:pPr>
      <w:r w:rsidRPr="004640D8">
        <w:rPr>
          <w:rFonts w:ascii="Cambria" w:hAnsi="Cambria"/>
          <w:b/>
          <w:sz w:val="26"/>
          <w:szCs w:val="26"/>
          <w:lang w:val="ro-RO"/>
        </w:rPr>
        <w:t>Lucrare profesională 3:</w:t>
      </w:r>
    </w:p>
    <w:p w14:paraId="5B4ADFA0" w14:textId="77777777" w:rsidR="00001A89" w:rsidRPr="004640D8" w:rsidRDefault="00001A89" w:rsidP="00001A89">
      <w:pPr>
        <w:jc w:val="both"/>
        <w:rPr>
          <w:rFonts w:ascii="Cambria" w:hAnsi="Cambria"/>
          <w:b/>
          <w:sz w:val="26"/>
          <w:szCs w:val="26"/>
          <w:lang w:val="ro-RO"/>
        </w:rPr>
      </w:pPr>
      <w:r w:rsidRPr="004640D8">
        <w:rPr>
          <w:rFonts w:ascii="Cambria" w:hAnsi="Cambria"/>
          <w:i/>
          <w:color w:val="333333"/>
          <w:spacing w:val="-2"/>
          <w:sz w:val="26"/>
          <w:szCs w:val="26"/>
          <w:lang w:val="ro-RO"/>
        </w:rPr>
        <w:t xml:space="preserve">În ce condiții poate fi formulată o acțiune în  interpretare în fața instanței de la Luxemburg? </w:t>
      </w:r>
    </w:p>
    <w:p w14:paraId="6271D2C4" w14:textId="77777777" w:rsidR="00001A89" w:rsidRPr="004640D8" w:rsidRDefault="00001A89" w:rsidP="00001A89">
      <w:pPr>
        <w:pStyle w:val="c01pointnumerotealtn"/>
        <w:shd w:val="clear" w:color="auto" w:fill="FFFFFF"/>
        <w:spacing w:before="0" w:beforeAutospacing="0" w:after="0" w:afterAutospacing="0"/>
        <w:jc w:val="both"/>
        <w:rPr>
          <w:rFonts w:ascii="Cambria" w:hAnsi="Cambria"/>
          <w:i/>
          <w:color w:val="333333"/>
          <w:sz w:val="26"/>
          <w:szCs w:val="26"/>
        </w:rPr>
      </w:pPr>
    </w:p>
    <w:p w14:paraId="43AF9AA5" w14:textId="77777777" w:rsidR="00001A89" w:rsidRPr="004640D8" w:rsidRDefault="00001A89" w:rsidP="00001A89">
      <w:pPr>
        <w:jc w:val="both"/>
        <w:rPr>
          <w:rFonts w:ascii="Cambria" w:hAnsi="Cambria"/>
          <w:bCs/>
          <w:sz w:val="26"/>
          <w:szCs w:val="26"/>
          <w:lang w:val="ro-RO"/>
        </w:rPr>
      </w:pPr>
      <w:r w:rsidRPr="004640D8">
        <w:rPr>
          <w:rFonts w:ascii="Cambria" w:hAnsi="Cambria"/>
          <w:b/>
          <w:bCs/>
          <w:sz w:val="26"/>
          <w:szCs w:val="26"/>
          <w:lang w:val="ro-RO"/>
        </w:rPr>
        <w:t>Precizări</w:t>
      </w:r>
      <w:r w:rsidRPr="004640D8">
        <w:rPr>
          <w:rFonts w:ascii="Cambria" w:hAnsi="Cambria"/>
          <w:bCs/>
          <w:sz w:val="26"/>
          <w:szCs w:val="26"/>
          <w:lang w:val="ro-RO"/>
        </w:rPr>
        <w:t>:</w:t>
      </w:r>
    </w:p>
    <w:p w14:paraId="42CC85EE" w14:textId="77777777" w:rsidR="00001A89" w:rsidRDefault="00001A89" w:rsidP="00001A89">
      <w:pPr>
        <w:jc w:val="both"/>
        <w:rPr>
          <w:rFonts w:ascii="Cambria" w:hAnsi="Cambria"/>
          <w:bCs/>
          <w:sz w:val="26"/>
          <w:szCs w:val="26"/>
          <w:lang w:val="ro-RO"/>
        </w:rPr>
      </w:pPr>
      <w:r w:rsidRPr="004640D8">
        <w:rPr>
          <w:rFonts w:ascii="Cambria" w:hAnsi="Cambria"/>
          <w:bCs/>
          <w:sz w:val="26"/>
          <w:szCs w:val="26"/>
          <w:lang w:val="ro-RO"/>
        </w:rPr>
        <w:tab/>
      </w:r>
      <w:r w:rsidRPr="004640D8">
        <w:rPr>
          <w:rFonts w:ascii="Cambria" w:hAnsi="Cambria"/>
          <w:b/>
          <w:bCs/>
          <w:i/>
          <w:sz w:val="26"/>
          <w:szCs w:val="26"/>
          <w:lang w:val="ro-RO"/>
        </w:rPr>
        <w:t xml:space="preserve">1. Art. 12 alin. (9) din </w:t>
      </w:r>
      <w:r w:rsidRPr="004640D8">
        <w:rPr>
          <w:rFonts w:ascii="Cambria" w:hAnsi="Cambria"/>
          <w:b/>
          <w:i/>
          <w:color w:val="333333"/>
          <w:sz w:val="26"/>
          <w:szCs w:val="26"/>
          <w:lang w:val="ro-RO"/>
        </w:rPr>
        <w:t>Decretul guvernamental nr. 317/2007 prevede</w:t>
      </w:r>
      <w:r w:rsidRPr="004640D8">
        <w:rPr>
          <w:rFonts w:ascii="Cambria" w:hAnsi="Cambria"/>
          <w:color w:val="333333"/>
          <w:sz w:val="26"/>
          <w:szCs w:val="26"/>
          <w:lang w:val="ro-RO"/>
        </w:rPr>
        <w:t>: „</w:t>
      </w:r>
      <w:r w:rsidRPr="004640D8">
        <w:rPr>
          <w:rFonts w:ascii="Cambria" w:hAnsi="Cambria"/>
          <w:bCs/>
          <w:sz w:val="26"/>
          <w:szCs w:val="26"/>
          <w:lang w:val="ro-RO"/>
        </w:rPr>
        <w:t>Plata pentru serviciile de rețea în cazul exportului de energie electrică este efectuată de exportatorul de energie electrică, dacă acesta nu demonstrează că energia electrică exportată a fost importată pe teritoriul definit”.</w:t>
      </w:r>
    </w:p>
    <w:p w14:paraId="3B3ADB12" w14:textId="77777777" w:rsidR="003200C8" w:rsidRPr="004640D8" w:rsidRDefault="003200C8" w:rsidP="00001A89">
      <w:pPr>
        <w:jc w:val="both"/>
        <w:rPr>
          <w:rFonts w:ascii="Cambria" w:hAnsi="Cambria"/>
          <w:bCs/>
          <w:sz w:val="26"/>
          <w:szCs w:val="26"/>
          <w:lang w:val="ro-RO"/>
        </w:rPr>
      </w:pPr>
    </w:p>
    <w:p w14:paraId="5BF312AF" w14:textId="77777777" w:rsidR="00001A89" w:rsidRPr="004640D8" w:rsidRDefault="00001A89" w:rsidP="00001A89">
      <w:pPr>
        <w:jc w:val="both"/>
        <w:rPr>
          <w:rFonts w:ascii="Cambria" w:hAnsi="Cambria"/>
          <w:b/>
          <w:bCs/>
          <w:i/>
          <w:sz w:val="26"/>
          <w:szCs w:val="26"/>
          <w:lang w:val="ro-RO"/>
        </w:rPr>
      </w:pPr>
      <w:r w:rsidRPr="004640D8">
        <w:rPr>
          <w:rFonts w:ascii="Cambria" w:hAnsi="Cambria"/>
          <w:bCs/>
          <w:sz w:val="26"/>
          <w:szCs w:val="26"/>
          <w:lang w:val="ro-RO"/>
        </w:rPr>
        <w:tab/>
      </w:r>
      <w:r w:rsidRPr="004640D8">
        <w:rPr>
          <w:rFonts w:ascii="Cambria" w:hAnsi="Cambria"/>
          <w:b/>
          <w:bCs/>
          <w:i/>
          <w:sz w:val="26"/>
          <w:szCs w:val="26"/>
          <w:lang w:val="ro-RO"/>
        </w:rPr>
        <w:t>2. La aprecierea răspunsului vor fi avute în vedere următoarele:</w:t>
      </w:r>
    </w:p>
    <w:p w14:paraId="1720B8EA" w14:textId="77777777" w:rsidR="00001A89" w:rsidRPr="004640D8" w:rsidRDefault="00001A89" w:rsidP="00001A89">
      <w:pPr>
        <w:jc w:val="both"/>
        <w:rPr>
          <w:rFonts w:ascii="Cambria" w:hAnsi="Cambria"/>
          <w:bCs/>
          <w:sz w:val="26"/>
          <w:szCs w:val="26"/>
          <w:lang w:val="ro-RO"/>
        </w:rPr>
      </w:pPr>
      <w:r w:rsidRPr="004640D8">
        <w:rPr>
          <w:rFonts w:ascii="Cambria" w:hAnsi="Cambria"/>
          <w:bCs/>
          <w:sz w:val="26"/>
          <w:szCs w:val="26"/>
          <w:lang w:val="ro-RO"/>
        </w:rPr>
        <w:t>- sistematizarea motivării juridice;</w:t>
      </w:r>
    </w:p>
    <w:p w14:paraId="5D62ADB7" w14:textId="77777777" w:rsidR="00001A89" w:rsidRPr="004640D8" w:rsidRDefault="00001A89" w:rsidP="00001A89">
      <w:pPr>
        <w:jc w:val="both"/>
        <w:rPr>
          <w:rFonts w:ascii="Cambria" w:hAnsi="Cambria"/>
          <w:bCs/>
          <w:sz w:val="26"/>
          <w:szCs w:val="26"/>
          <w:lang w:val="ro-RO"/>
        </w:rPr>
      </w:pPr>
      <w:r w:rsidRPr="004640D8">
        <w:rPr>
          <w:rFonts w:ascii="Cambria" w:hAnsi="Cambria"/>
          <w:bCs/>
          <w:sz w:val="26"/>
          <w:szCs w:val="26"/>
          <w:lang w:val="ro-RO"/>
        </w:rPr>
        <w:t>- temeiul juridic;</w:t>
      </w:r>
    </w:p>
    <w:p w14:paraId="2DAF34FA" w14:textId="77777777" w:rsidR="00001A89" w:rsidRPr="004640D8" w:rsidRDefault="00001A89" w:rsidP="00001A89">
      <w:pPr>
        <w:jc w:val="both"/>
        <w:rPr>
          <w:rFonts w:ascii="Cambria" w:hAnsi="Cambria"/>
          <w:bCs/>
          <w:sz w:val="26"/>
          <w:szCs w:val="26"/>
          <w:lang w:val="ro-RO"/>
        </w:rPr>
      </w:pPr>
      <w:r w:rsidRPr="004640D8">
        <w:rPr>
          <w:rFonts w:ascii="Cambria" w:hAnsi="Cambria"/>
          <w:bCs/>
          <w:sz w:val="26"/>
          <w:szCs w:val="26"/>
          <w:lang w:val="ro-RO"/>
        </w:rPr>
        <w:t xml:space="preserve">- identificarea </w:t>
      </w:r>
      <w:r w:rsidR="004640D8" w:rsidRPr="004640D8">
        <w:rPr>
          <w:rFonts w:ascii="Cambria" w:hAnsi="Cambria"/>
          <w:bCs/>
          <w:sz w:val="26"/>
          <w:szCs w:val="26"/>
          <w:lang w:val="ro-RO"/>
        </w:rPr>
        <w:t>jurisprudenței</w:t>
      </w:r>
      <w:r w:rsidRPr="004640D8">
        <w:rPr>
          <w:rFonts w:ascii="Cambria" w:hAnsi="Cambria"/>
          <w:bCs/>
          <w:sz w:val="26"/>
          <w:szCs w:val="26"/>
          <w:lang w:val="ro-RO"/>
        </w:rPr>
        <w:t xml:space="preserve"> relevante pentru domeniu;</w:t>
      </w:r>
    </w:p>
    <w:p w14:paraId="35901916" w14:textId="77777777" w:rsidR="00001A89" w:rsidRPr="004640D8" w:rsidRDefault="00001A89" w:rsidP="00001A89">
      <w:pPr>
        <w:jc w:val="both"/>
        <w:rPr>
          <w:rFonts w:ascii="Cambria" w:hAnsi="Cambria"/>
          <w:bCs/>
          <w:sz w:val="26"/>
          <w:szCs w:val="26"/>
          <w:lang w:val="ro-RO"/>
        </w:rPr>
      </w:pPr>
      <w:r w:rsidRPr="004640D8">
        <w:rPr>
          <w:rFonts w:ascii="Cambria" w:hAnsi="Cambria"/>
          <w:bCs/>
          <w:sz w:val="26"/>
          <w:szCs w:val="26"/>
          <w:lang w:val="ro-RO"/>
        </w:rPr>
        <w:t xml:space="preserve">- identificarea şi folosirea corectă a principiilor </w:t>
      </w:r>
      <w:r w:rsidR="004640D8" w:rsidRPr="004640D8">
        <w:rPr>
          <w:rFonts w:ascii="Cambria" w:hAnsi="Cambria"/>
          <w:bCs/>
          <w:sz w:val="26"/>
          <w:szCs w:val="26"/>
          <w:lang w:val="ro-RO"/>
        </w:rPr>
        <w:t>jurisprudenței</w:t>
      </w:r>
      <w:r w:rsidRPr="004640D8">
        <w:rPr>
          <w:rFonts w:ascii="Cambria" w:hAnsi="Cambria"/>
          <w:bCs/>
          <w:sz w:val="26"/>
          <w:szCs w:val="26"/>
          <w:lang w:val="ro-RO"/>
        </w:rPr>
        <w:t xml:space="preserve"> </w:t>
      </w:r>
      <w:r w:rsidR="004640D8" w:rsidRPr="004640D8">
        <w:rPr>
          <w:rFonts w:ascii="Cambria" w:hAnsi="Cambria"/>
          <w:bCs/>
          <w:sz w:val="26"/>
          <w:szCs w:val="26"/>
          <w:lang w:val="ro-RO"/>
        </w:rPr>
        <w:t>Curții</w:t>
      </w:r>
      <w:r w:rsidRPr="004640D8">
        <w:rPr>
          <w:rFonts w:ascii="Cambria" w:hAnsi="Cambria"/>
          <w:bCs/>
          <w:sz w:val="26"/>
          <w:szCs w:val="26"/>
          <w:lang w:val="ro-RO"/>
        </w:rPr>
        <w:t xml:space="preserve"> de </w:t>
      </w:r>
      <w:r w:rsidR="004640D8">
        <w:rPr>
          <w:rFonts w:ascii="Cambria" w:hAnsi="Cambria"/>
          <w:bCs/>
          <w:sz w:val="26"/>
          <w:szCs w:val="26"/>
          <w:lang w:val="ro-RO"/>
        </w:rPr>
        <w:t>J</w:t>
      </w:r>
      <w:r w:rsidRPr="004640D8">
        <w:rPr>
          <w:rFonts w:ascii="Cambria" w:hAnsi="Cambria"/>
          <w:bCs/>
          <w:sz w:val="26"/>
          <w:szCs w:val="26"/>
          <w:lang w:val="ro-RO"/>
        </w:rPr>
        <w:t>usti</w:t>
      </w:r>
      <w:r w:rsidR="004640D8">
        <w:rPr>
          <w:rFonts w:ascii="Cambria" w:hAnsi="Cambria"/>
          <w:bCs/>
          <w:sz w:val="26"/>
          <w:szCs w:val="26"/>
          <w:lang w:val="ro-RO"/>
        </w:rPr>
        <w:t>ț</w:t>
      </w:r>
      <w:r w:rsidRPr="004640D8">
        <w:rPr>
          <w:rFonts w:ascii="Cambria" w:hAnsi="Cambria"/>
          <w:bCs/>
          <w:sz w:val="26"/>
          <w:szCs w:val="26"/>
          <w:lang w:val="ro-RO"/>
        </w:rPr>
        <w:t>ie a Uniunii Europene;</w:t>
      </w:r>
    </w:p>
    <w:p w14:paraId="741F38A8" w14:textId="77777777" w:rsidR="00001A89" w:rsidRPr="004640D8" w:rsidRDefault="00001A89" w:rsidP="00001A89">
      <w:pPr>
        <w:jc w:val="both"/>
        <w:rPr>
          <w:rFonts w:ascii="Cambria" w:hAnsi="Cambria"/>
          <w:bCs/>
          <w:sz w:val="26"/>
          <w:szCs w:val="26"/>
          <w:lang w:val="ro-RO"/>
        </w:rPr>
      </w:pPr>
      <w:r w:rsidRPr="004640D8">
        <w:rPr>
          <w:rFonts w:ascii="Cambria" w:hAnsi="Cambria"/>
          <w:bCs/>
          <w:sz w:val="26"/>
          <w:szCs w:val="26"/>
          <w:lang w:val="ro-RO"/>
        </w:rPr>
        <w:t>- limbajul juridic;</w:t>
      </w:r>
    </w:p>
    <w:p w14:paraId="6CCD72CC" w14:textId="77777777" w:rsidR="00001A89" w:rsidRPr="004640D8" w:rsidRDefault="00001A89" w:rsidP="00001A89">
      <w:pPr>
        <w:jc w:val="both"/>
        <w:rPr>
          <w:rFonts w:ascii="Cambria" w:hAnsi="Cambria"/>
          <w:bCs/>
          <w:sz w:val="26"/>
          <w:szCs w:val="26"/>
          <w:lang w:val="ro-RO"/>
        </w:rPr>
      </w:pPr>
      <w:r w:rsidRPr="004640D8">
        <w:rPr>
          <w:rFonts w:ascii="Cambria" w:hAnsi="Cambria"/>
          <w:bCs/>
          <w:sz w:val="26"/>
          <w:szCs w:val="26"/>
          <w:lang w:val="ro-RO"/>
        </w:rPr>
        <w:t xml:space="preserve">- logica şi </w:t>
      </w:r>
      <w:r w:rsidR="004640D8" w:rsidRPr="004640D8">
        <w:rPr>
          <w:rFonts w:ascii="Cambria" w:hAnsi="Cambria"/>
          <w:bCs/>
          <w:sz w:val="26"/>
          <w:szCs w:val="26"/>
          <w:lang w:val="ro-RO"/>
        </w:rPr>
        <w:t>pertinența</w:t>
      </w:r>
      <w:r w:rsidRPr="004640D8">
        <w:rPr>
          <w:rFonts w:ascii="Cambria" w:hAnsi="Cambria"/>
          <w:bCs/>
          <w:sz w:val="26"/>
          <w:szCs w:val="26"/>
          <w:lang w:val="ro-RO"/>
        </w:rPr>
        <w:t xml:space="preserve"> argumentării;</w:t>
      </w:r>
    </w:p>
    <w:p w14:paraId="20BA005C" w14:textId="77777777" w:rsidR="00001A89" w:rsidRPr="004640D8" w:rsidRDefault="00001A89" w:rsidP="00001A89">
      <w:pPr>
        <w:jc w:val="both"/>
        <w:rPr>
          <w:rFonts w:ascii="Cambria" w:hAnsi="Cambria"/>
          <w:bCs/>
          <w:sz w:val="26"/>
          <w:szCs w:val="26"/>
          <w:lang w:val="ro-RO"/>
        </w:rPr>
      </w:pPr>
      <w:r w:rsidRPr="004640D8">
        <w:rPr>
          <w:rFonts w:ascii="Cambria" w:hAnsi="Cambria"/>
          <w:bCs/>
          <w:sz w:val="26"/>
          <w:szCs w:val="26"/>
          <w:lang w:val="ro-RO"/>
        </w:rPr>
        <w:t xml:space="preserve">- nota de personalitate (în acest sens, răspunsul poate fi nuanțat, în funcție de interpretarea dată situației de fapt) și </w:t>
      </w:r>
    </w:p>
    <w:p w14:paraId="1AAC93D4" w14:textId="77777777" w:rsidR="00001A89" w:rsidRPr="004640D8" w:rsidRDefault="00001A89" w:rsidP="00001A89">
      <w:pPr>
        <w:jc w:val="both"/>
        <w:rPr>
          <w:rFonts w:ascii="Cambria" w:hAnsi="Cambria"/>
          <w:bCs/>
          <w:i/>
          <w:sz w:val="26"/>
          <w:szCs w:val="26"/>
          <w:lang w:val="ro-RO"/>
        </w:rPr>
      </w:pPr>
      <w:r w:rsidRPr="004640D8">
        <w:rPr>
          <w:rFonts w:ascii="Cambria" w:hAnsi="Cambria"/>
          <w:bCs/>
          <w:sz w:val="26"/>
          <w:szCs w:val="26"/>
          <w:lang w:val="ro-RO"/>
        </w:rPr>
        <w:t xml:space="preserve">- indicarea corectă a </w:t>
      </w:r>
      <w:r w:rsidR="004640D8" w:rsidRPr="004640D8">
        <w:rPr>
          <w:rFonts w:ascii="Cambria" w:hAnsi="Cambria"/>
          <w:bCs/>
          <w:sz w:val="26"/>
          <w:szCs w:val="26"/>
          <w:lang w:val="ro-RO"/>
        </w:rPr>
        <w:t>legislației</w:t>
      </w:r>
      <w:r w:rsidRPr="004640D8">
        <w:rPr>
          <w:rFonts w:ascii="Cambria" w:hAnsi="Cambria"/>
          <w:bCs/>
          <w:sz w:val="26"/>
          <w:szCs w:val="26"/>
          <w:lang w:val="ro-RO"/>
        </w:rPr>
        <w:t xml:space="preserve">, a </w:t>
      </w:r>
      <w:r w:rsidR="004640D8" w:rsidRPr="004640D8">
        <w:rPr>
          <w:rFonts w:ascii="Cambria" w:hAnsi="Cambria"/>
          <w:bCs/>
          <w:sz w:val="26"/>
          <w:szCs w:val="26"/>
          <w:lang w:val="ro-RO"/>
        </w:rPr>
        <w:t>jurisprudenței</w:t>
      </w:r>
      <w:r w:rsidRPr="004640D8">
        <w:rPr>
          <w:rFonts w:ascii="Cambria" w:hAnsi="Cambria"/>
          <w:bCs/>
          <w:sz w:val="26"/>
          <w:szCs w:val="26"/>
          <w:lang w:val="ro-RO"/>
        </w:rPr>
        <w:t xml:space="preserve"> și a doctrinei folosite.</w:t>
      </w:r>
    </w:p>
    <w:p w14:paraId="69AFEDA7" w14:textId="77777777" w:rsidR="00001A89" w:rsidRPr="004640D8" w:rsidRDefault="00001A89" w:rsidP="00001A89">
      <w:pPr>
        <w:rPr>
          <w:rFonts w:ascii="Cambria" w:hAnsi="Cambria"/>
          <w:sz w:val="26"/>
          <w:szCs w:val="26"/>
          <w:lang w:val="ro-RO"/>
        </w:rPr>
      </w:pPr>
    </w:p>
    <w:p w14:paraId="1D3CFE01" w14:textId="77777777" w:rsidR="00001A89" w:rsidRPr="004640D8" w:rsidRDefault="00001A89" w:rsidP="00216B30">
      <w:pPr>
        <w:spacing w:after="120"/>
        <w:ind w:firstLine="720"/>
        <w:jc w:val="both"/>
        <w:rPr>
          <w:rFonts w:ascii="Cambria" w:hAnsi="Cambria"/>
          <w:bCs/>
          <w:iCs/>
          <w:sz w:val="26"/>
          <w:szCs w:val="26"/>
          <w:lang w:val="ro-RO"/>
        </w:rPr>
      </w:pPr>
    </w:p>
    <w:sectPr w:rsidR="00001A89" w:rsidRPr="004640D8" w:rsidSect="002E4D56">
      <w:headerReference w:type="default" r:id="rId9"/>
      <w:footerReference w:type="even" r:id="rId10"/>
      <w:footerReference w:type="default" r:id="rId11"/>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80F36" w14:textId="77777777" w:rsidR="00ED3CA3" w:rsidRDefault="00ED3CA3">
      <w:r>
        <w:separator/>
      </w:r>
    </w:p>
  </w:endnote>
  <w:endnote w:type="continuationSeparator" w:id="0">
    <w:p w14:paraId="75E13B0D" w14:textId="77777777" w:rsidR="00ED3CA3" w:rsidRDefault="00E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04B8" w14:textId="77777777"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FED24C" w14:textId="77777777" w:rsidR="00255D8D" w:rsidRDefault="0025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BE44" w14:textId="77777777" w:rsidR="00255D8D" w:rsidRPr="004E7CCE" w:rsidRDefault="00255D8D" w:rsidP="00E576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83F62" w14:textId="77777777" w:rsidR="00ED3CA3" w:rsidRDefault="00ED3CA3">
      <w:r>
        <w:separator/>
      </w:r>
    </w:p>
  </w:footnote>
  <w:footnote w:type="continuationSeparator" w:id="0">
    <w:p w14:paraId="3671C9F9" w14:textId="77777777" w:rsidR="00ED3CA3" w:rsidRDefault="00ED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E3AC" w14:textId="77777777"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2"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1"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3"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28"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29"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1"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2"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35"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36"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1"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2"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3"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44"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45"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8"/>
  </w:num>
  <w:num w:numId="2">
    <w:abstractNumId w:val="41"/>
  </w:num>
  <w:num w:numId="3">
    <w:abstractNumId w:val="20"/>
  </w:num>
  <w:num w:numId="4">
    <w:abstractNumId w:val="11"/>
  </w:num>
  <w:num w:numId="5">
    <w:abstractNumId w:val="27"/>
  </w:num>
  <w:num w:numId="6">
    <w:abstractNumId w:val="22"/>
  </w:num>
  <w:num w:numId="7">
    <w:abstractNumId w:val="17"/>
  </w:num>
  <w:num w:numId="8">
    <w:abstractNumId w:val="12"/>
  </w:num>
  <w:num w:numId="9">
    <w:abstractNumId w:val="19"/>
  </w:num>
  <w:num w:numId="10">
    <w:abstractNumId w:val="3"/>
  </w:num>
  <w:num w:numId="11">
    <w:abstractNumId w:val="45"/>
  </w:num>
  <w:num w:numId="12">
    <w:abstractNumId w:val="5"/>
  </w:num>
  <w:num w:numId="13">
    <w:abstractNumId w:val="13"/>
  </w:num>
  <w:num w:numId="14">
    <w:abstractNumId w:val="25"/>
  </w:num>
  <w:num w:numId="15">
    <w:abstractNumId w:val="10"/>
  </w:num>
  <w:num w:numId="16">
    <w:abstractNumId w:val="18"/>
  </w:num>
  <w:num w:numId="17">
    <w:abstractNumId w:val="6"/>
  </w:num>
  <w:num w:numId="18">
    <w:abstractNumId w:val="24"/>
  </w:num>
  <w:num w:numId="19">
    <w:abstractNumId w:val="38"/>
  </w:num>
  <w:num w:numId="20">
    <w:abstractNumId w:val="37"/>
  </w:num>
  <w:num w:numId="21">
    <w:abstractNumId w:val="46"/>
  </w:num>
  <w:num w:numId="22">
    <w:abstractNumId w:val="7"/>
  </w:num>
  <w:num w:numId="23">
    <w:abstractNumId w:val="32"/>
  </w:num>
  <w:num w:numId="24">
    <w:abstractNumId w:val="31"/>
  </w:num>
  <w:num w:numId="25">
    <w:abstractNumId w:val="43"/>
  </w:num>
  <w:num w:numId="26">
    <w:abstractNumId w:val="34"/>
  </w:num>
  <w:num w:numId="27">
    <w:abstractNumId w:val="30"/>
  </w:num>
  <w:num w:numId="28">
    <w:abstractNumId w:val="42"/>
  </w:num>
  <w:num w:numId="29">
    <w:abstractNumId w:val="40"/>
  </w:num>
  <w:num w:numId="30">
    <w:abstractNumId w:val="44"/>
  </w:num>
  <w:num w:numId="31">
    <w:abstractNumId w:val="9"/>
  </w:num>
  <w:num w:numId="32">
    <w:abstractNumId w:val="8"/>
  </w:num>
  <w:num w:numId="33">
    <w:abstractNumId w:val="16"/>
  </w:num>
  <w:num w:numId="34">
    <w:abstractNumId w:val="26"/>
  </w:num>
  <w:num w:numId="35">
    <w:abstractNumId w:val="35"/>
  </w:num>
  <w:num w:numId="36">
    <w:abstractNumId w:val="2"/>
  </w:num>
  <w:num w:numId="37">
    <w:abstractNumId w:val="21"/>
  </w:num>
  <w:num w:numId="38">
    <w:abstractNumId w:val="36"/>
  </w:num>
  <w:num w:numId="39">
    <w:abstractNumId w:val="15"/>
  </w:num>
  <w:num w:numId="40">
    <w:abstractNumId w:val="23"/>
  </w:num>
  <w:num w:numId="41">
    <w:abstractNumId w:val="39"/>
  </w:num>
  <w:num w:numId="42">
    <w:abstractNumId w:val="14"/>
  </w:num>
  <w:num w:numId="43">
    <w:abstractNumId w:val="29"/>
  </w:num>
  <w:num w:numId="44">
    <w:abstractNumId w:val="33"/>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E8"/>
    <w:rsid w:val="00001A89"/>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5458"/>
    <w:rsid w:val="000957B0"/>
    <w:rsid w:val="000A0B41"/>
    <w:rsid w:val="000A5FCB"/>
    <w:rsid w:val="000A75A1"/>
    <w:rsid w:val="000B25D9"/>
    <w:rsid w:val="000B4D3C"/>
    <w:rsid w:val="000C0831"/>
    <w:rsid w:val="000C30E8"/>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60"/>
    <w:rsid w:val="001219FA"/>
    <w:rsid w:val="0012369E"/>
    <w:rsid w:val="00124A2E"/>
    <w:rsid w:val="00125C94"/>
    <w:rsid w:val="00126507"/>
    <w:rsid w:val="00127C55"/>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6B30"/>
    <w:rsid w:val="00217C7A"/>
    <w:rsid w:val="002218F4"/>
    <w:rsid w:val="00221C3D"/>
    <w:rsid w:val="00223EEB"/>
    <w:rsid w:val="0022688D"/>
    <w:rsid w:val="002301E7"/>
    <w:rsid w:val="00231170"/>
    <w:rsid w:val="00231F33"/>
    <w:rsid w:val="00233939"/>
    <w:rsid w:val="00235D3A"/>
    <w:rsid w:val="0024074D"/>
    <w:rsid w:val="002420CB"/>
    <w:rsid w:val="0025112E"/>
    <w:rsid w:val="002512A3"/>
    <w:rsid w:val="0025166B"/>
    <w:rsid w:val="00252477"/>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00C8"/>
    <w:rsid w:val="00326D35"/>
    <w:rsid w:val="0032750A"/>
    <w:rsid w:val="003275B8"/>
    <w:rsid w:val="00327F33"/>
    <w:rsid w:val="003364EF"/>
    <w:rsid w:val="003369C3"/>
    <w:rsid w:val="00342308"/>
    <w:rsid w:val="00342949"/>
    <w:rsid w:val="00345CC0"/>
    <w:rsid w:val="003472A3"/>
    <w:rsid w:val="0035141F"/>
    <w:rsid w:val="003541CA"/>
    <w:rsid w:val="00354CE2"/>
    <w:rsid w:val="00354EFB"/>
    <w:rsid w:val="00356019"/>
    <w:rsid w:val="00357776"/>
    <w:rsid w:val="00360A70"/>
    <w:rsid w:val="00360CA9"/>
    <w:rsid w:val="00362840"/>
    <w:rsid w:val="0036361F"/>
    <w:rsid w:val="00364293"/>
    <w:rsid w:val="00364793"/>
    <w:rsid w:val="00366A9F"/>
    <w:rsid w:val="0037144C"/>
    <w:rsid w:val="00371B06"/>
    <w:rsid w:val="00372B4A"/>
    <w:rsid w:val="00377F18"/>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40D8"/>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B07E2"/>
    <w:rsid w:val="004B4898"/>
    <w:rsid w:val="004B6A18"/>
    <w:rsid w:val="004C0506"/>
    <w:rsid w:val="004C0D0E"/>
    <w:rsid w:val="004C0F08"/>
    <w:rsid w:val="004C1C9F"/>
    <w:rsid w:val="004C205A"/>
    <w:rsid w:val="004C21F3"/>
    <w:rsid w:val="004C76E8"/>
    <w:rsid w:val="004D1DCC"/>
    <w:rsid w:val="004D621B"/>
    <w:rsid w:val="004E166D"/>
    <w:rsid w:val="004E304A"/>
    <w:rsid w:val="004E44B2"/>
    <w:rsid w:val="004E5A29"/>
    <w:rsid w:val="004E5FF3"/>
    <w:rsid w:val="004E7377"/>
    <w:rsid w:val="004E7CCE"/>
    <w:rsid w:val="004F4BFF"/>
    <w:rsid w:val="004F6919"/>
    <w:rsid w:val="004F7754"/>
    <w:rsid w:val="004F7DB9"/>
    <w:rsid w:val="00507A20"/>
    <w:rsid w:val="0051784A"/>
    <w:rsid w:val="00517973"/>
    <w:rsid w:val="00521EF0"/>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3FE3"/>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B42"/>
    <w:rsid w:val="00762FD6"/>
    <w:rsid w:val="00764F87"/>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C7862"/>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5027"/>
    <w:rsid w:val="00807C75"/>
    <w:rsid w:val="008115A7"/>
    <w:rsid w:val="00811C0A"/>
    <w:rsid w:val="00812417"/>
    <w:rsid w:val="00813E81"/>
    <w:rsid w:val="00815AC0"/>
    <w:rsid w:val="00815C30"/>
    <w:rsid w:val="00815F7D"/>
    <w:rsid w:val="0081617A"/>
    <w:rsid w:val="008223FE"/>
    <w:rsid w:val="00823183"/>
    <w:rsid w:val="008232D6"/>
    <w:rsid w:val="00824B01"/>
    <w:rsid w:val="008261BE"/>
    <w:rsid w:val="008271FB"/>
    <w:rsid w:val="00827D27"/>
    <w:rsid w:val="00832606"/>
    <w:rsid w:val="008341E3"/>
    <w:rsid w:val="00834B9B"/>
    <w:rsid w:val="00835F7F"/>
    <w:rsid w:val="008367D4"/>
    <w:rsid w:val="00836D59"/>
    <w:rsid w:val="0083737E"/>
    <w:rsid w:val="00837B7C"/>
    <w:rsid w:val="0084092F"/>
    <w:rsid w:val="00845CC2"/>
    <w:rsid w:val="00847372"/>
    <w:rsid w:val="00847E57"/>
    <w:rsid w:val="00860071"/>
    <w:rsid w:val="0086042D"/>
    <w:rsid w:val="00860600"/>
    <w:rsid w:val="008634D8"/>
    <w:rsid w:val="00863BBE"/>
    <w:rsid w:val="00870304"/>
    <w:rsid w:val="008737FD"/>
    <w:rsid w:val="00875C41"/>
    <w:rsid w:val="00881018"/>
    <w:rsid w:val="008825E2"/>
    <w:rsid w:val="00882F2E"/>
    <w:rsid w:val="00887500"/>
    <w:rsid w:val="00891DEA"/>
    <w:rsid w:val="00894A14"/>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2E75"/>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56F"/>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5C3E"/>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06918"/>
    <w:rsid w:val="00A1248E"/>
    <w:rsid w:val="00A1260C"/>
    <w:rsid w:val="00A15491"/>
    <w:rsid w:val="00A178AB"/>
    <w:rsid w:val="00A20585"/>
    <w:rsid w:val="00A2143B"/>
    <w:rsid w:val="00A21930"/>
    <w:rsid w:val="00A24158"/>
    <w:rsid w:val="00A26112"/>
    <w:rsid w:val="00A26959"/>
    <w:rsid w:val="00A32A7C"/>
    <w:rsid w:val="00A32B23"/>
    <w:rsid w:val="00A34D5F"/>
    <w:rsid w:val="00A415BC"/>
    <w:rsid w:val="00A41A2F"/>
    <w:rsid w:val="00A433F4"/>
    <w:rsid w:val="00A44325"/>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6E1"/>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B671B"/>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3F9"/>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1572"/>
    <w:rsid w:val="00B64323"/>
    <w:rsid w:val="00B70C25"/>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2063"/>
    <w:rsid w:val="00BE49B5"/>
    <w:rsid w:val="00BE50A9"/>
    <w:rsid w:val="00BE7227"/>
    <w:rsid w:val="00BE7250"/>
    <w:rsid w:val="00BF104D"/>
    <w:rsid w:val="00BF16AF"/>
    <w:rsid w:val="00BF267F"/>
    <w:rsid w:val="00BF68E1"/>
    <w:rsid w:val="00BF7CE6"/>
    <w:rsid w:val="00C01A31"/>
    <w:rsid w:val="00C05580"/>
    <w:rsid w:val="00C179C9"/>
    <w:rsid w:val="00C20185"/>
    <w:rsid w:val="00C22A34"/>
    <w:rsid w:val="00C25446"/>
    <w:rsid w:val="00C27221"/>
    <w:rsid w:val="00C27250"/>
    <w:rsid w:val="00C27F5B"/>
    <w:rsid w:val="00C30E27"/>
    <w:rsid w:val="00C30E89"/>
    <w:rsid w:val="00C31E46"/>
    <w:rsid w:val="00C32721"/>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01324"/>
    <w:rsid w:val="00D07565"/>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542"/>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738F2"/>
    <w:rsid w:val="00E823D1"/>
    <w:rsid w:val="00E83AFA"/>
    <w:rsid w:val="00E84A0A"/>
    <w:rsid w:val="00E85421"/>
    <w:rsid w:val="00E878F5"/>
    <w:rsid w:val="00E902AD"/>
    <w:rsid w:val="00E91B41"/>
    <w:rsid w:val="00E92387"/>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3CA3"/>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444"/>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33D0"/>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FA00BAF"/>
  <w15:chartTrackingRefBased/>
  <w15:docId w15:val="{633CE596-1CB0-4401-A0F3-70B2D2AB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7C55"/>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eastAsia="x-none"/>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uiPriority w:val="99"/>
    <w:rsid w:val="002E4D56"/>
    <w:pPr>
      <w:suppressAutoHyphens/>
      <w:spacing w:before="225" w:after="225"/>
    </w:pPr>
    <w:rPr>
      <w:rFonts w:ascii="Times New Roman" w:hAnsi="Times New Roman"/>
      <w:sz w:val="24"/>
      <w:lang w:val="en-US" w:eastAsia="zh-CN"/>
    </w:rPr>
  </w:style>
  <w:style w:type="paragraph" w:customStyle="1" w:styleId="c01pointnumerotealtn">
    <w:name w:val="c01pointnumerotealtn"/>
    <w:basedOn w:val="Normal"/>
    <w:rsid w:val="00001A89"/>
    <w:pPr>
      <w:spacing w:before="100" w:beforeAutospacing="1" w:after="100" w:afterAutospacing="1"/>
    </w:pPr>
    <w:rPr>
      <w:rFonts w:ascii="Times New Roman" w:hAnsi="Times New Roman"/>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ECF4-FB23-407A-9DCB-F4D0AA38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Sandu Gherasim</cp:lastModifiedBy>
  <cp:revision>2</cp:revision>
  <cp:lastPrinted>2014-06-06T07:13:00Z</cp:lastPrinted>
  <dcterms:created xsi:type="dcterms:W3CDTF">2019-09-20T07:43:00Z</dcterms:created>
  <dcterms:modified xsi:type="dcterms:W3CDTF">2019-09-20T07:43:00Z</dcterms:modified>
</cp:coreProperties>
</file>