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2C30" w14:textId="77777777"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2500490F" w14:textId="77777777" w:rsidR="00C36D92" w:rsidRPr="00AD3F9E" w:rsidRDefault="00C36D92" w:rsidP="00C36D92">
      <w:pPr>
        <w:jc w:val="center"/>
        <w:rPr>
          <w:rFonts w:ascii="Trebuchet MS" w:hAnsi="Trebuchet MS" w:cs="Tahoma"/>
          <w:b/>
          <w:bCs/>
          <w:szCs w:val="24"/>
          <w:u w:val="single"/>
        </w:rPr>
      </w:pPr>
    </w:p>
    <w:p w14:paraId="16FF8CD5" w14:textId="77777777" w:rsidR="00C36D92" w:rsidRPr="00AD3F9E" w:rsidRDefault="00C36D92" w:rsidP="00C36D92">
      <w:pPr>
        <w:jc w:val="center"/>
        <w:rPr>
          <w:rFonts w:ascii="Trebuchet MS" w:hAnsi="Trebuchet MS" w:cs="Tahoma"/>
          <w:b/>
          <w:bCs/>
          <w:szCs w:val="24"/>
          <w:u w:val="single"/>
        </w:rPr>
      </w:pPr>
    </w:p>
    <w:p w14:paraId="64CA8CB0" w14:textId="77777777" w:rsidR="00C36D92" w:rsidRPr="00AD3F9E" w:rsidRDefault="00C36D92" w:rsidP="00C36D92">
      <w:pPr>
        <w:jc w:val="center"/>
        <w:rPr>
          <w:rFonts w:ascii="Arial" w:hAnsi="Arial" w:cs="Arial"/>
          <w:b/>
          <w:bCs/>
          <w:spacing w:val="20"/>
          <w:w w:val="150"/>
          <w:sz w:val="32"/>
          <w:szCs w:val="40"/>
        </w:rPr>
      </w:pPr>
    </w:p>
    <w:p w14:paraId="49841673" w14:textId="1AC07C6A" w:rsidR="00C36D92" w:rsidRPr="00AD3F9E" w:rsidRDefault="00C36D92" w:rsidP="00C36D92">
      <w:pPr>
        <w:jc w:val="center"/>
        <w:rPr>
          <w:rFonts w:ascii="Arial" w:hAnsi="Arial" w:cs="Arial"/>
          <w:b/>
          <w:bCs/>
          <w:spacing w:val="20"/>
          <w:w w:val="150"/>
          <w:sz w:val="32"/>
          <w:szCs w:val="40"/>
        </w:rPr>
      </w:pPr>
      <w:r w:rsidRPr="00AD3F9E">
        <w:rPr>
          <w:rFonts w:ascii="Arial" w:hAnsi="Arial" w:cs="Arial"/>
          <w:b/>
          <w:bCs/>
          <w:spacing w:val="20"/>
          <w:w w:val="150"/>
          <w:sz w:val="32"/>
          <w:szCs w:val="40"/>
        </w:rPr>
        <w:t>HOTĂRÂREA Nr.</w:t>
      </w:r>
      <w:r w:rsidR="00A51F01">
        <w:rPr>
          <w:rFonts w:ascii="Arial" w:hAnsi="Arial" w:cs="Arial"/>
          <w:b/>
          <w:bCs/>
          <w:spacing w:val="20"/>
          <w:w w:val="150"/>
          <w:sz w:val="32"/>
          <w:szCs w:val="40"/>
        </w:rPr>
        <w:t xml:space="preserve"> 148</w:t>
      </w:r>
      <w:r w:rsidRPr="00AD3F9E">
        <w:rPr>
          <w:rFonts w:ascii="Arial" w:hAnsi="Arial" w:cs="Arial"/>
          <w:b/>
          <w:bCs/>
          <w:spacing w:val="20"/>
          <w:w w:val="150"/>
          <w:sz w:val="32"/>
          <w:szCs w:val="40"/>
        </w:rPr>
        <w:t>/</w:t>
      </w:r>
      <w:r>
        <w:rPr>
          <w:rFonts w:ascii="Arial" w:hAnsi="Arial" w:cs="Arial"/>
          <w:b/>
          <w:bCs/>
          <w:spacing w:val="20"/>
          <w:w w:val="150"/>
          <w:sz w:val="32"/>
          <w:szCs w:val="40"/>
        </w:rPr>
        <w:t>14</w:t>
      </w:r>
      <w:r w:rsidR="00A51F01">
        <w:rPr>
          <w:rFonts w:ascii="Arial" w:hAnsi="Arial" w:cs="Arial"/>
          <w:b/>
          <w:bCs/>
          <w:spacing w:val="20"/>
          <w:w w:val="150"/>
          <w:sz w:val="32"/>
          <w:szCs w:val="40"/>
        </w:rPr>
        <w:t>-15</w:t>
      </w:r>
      <w:r w:rsidRPr="00AD3F9E">
        <w:rPr>
          <w:rFonts w:ascii="Arial" w:hAnsi="Arial" w:cs="Arial"/>
          <w:b/>
          <w:bCs/>
          <w:spacing w:val="20"/>
          <w:w w:val="150"/>
          <w:sz w:val="32"/>
          <w:szCs w:val="40"/>
        </w:rPr>
        <w:t>.0</w:t>
      </w:r>
      <w:r>
        <w:rPr>
          <w:rFonts w:ascii="Arial" w:hAnsi="Arial" w:cs="Arial"/>
          <w:b/>
          <w:bCs/>
          <w:spacing w:val="20"/>
          <w:w w:val="150"/>
          <w:sz w:val="32"/>
          <w:szCs w:val="40"/>
        </w:rPr>
        <w:t>5</w:t>
      </w:r>
      <w:r w:rsidRPr="00AD3F9E">
        <w:rPr>
          <w:rFonts w:ascii="Arial" w:hAnsi="Arial" w:cs="Arial"/>
          <w:b/>
          <w:bCs/>
          <w:spacing w:val="20"/>
          <w:w w:val="150"/>
          <w:sz w:val="32"/>
          <w:szCs w:val="40"/>
        </w:rPr>
        <w:t>.20</w:t>
      </w:r>
      <w:r>
        <w:rPr>
          <w:rFonts w:ascii="Arial" w:hAnsi="Arial" w:cs="Arial"/>
          <w:b/>
          <w:bCs/>
          <w:spacing w:val="20"/>
          <w:w w:val="150"/>
          <w:sz w:val="32"/>
          <w:szCs w:val="40"/>
        </w:rPr>
        <w:t>2</w:t>
      </w:r>
      <w:r w:rsidRPr="00AD3F9E">
        <w:rPr>
          <w:rFonts w:ascii="Arial" w:hAnsi="Arial" w:cs="Arial"/>
          <w:b/>
          <w:bCs/>
          <w:spacing w:val="20"/>
          <w:w w:val="150"/>
          <w:sz w:val="32"/>
          <w:szCs w:val="40"/>
        </w:rPr>
        <w:t>1</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4D3BCF6E"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Pr>
          <w:rFonts w:ascii="Arial" w:hAnsi="Arial" w:cs="Arial"/>
          <w:b/>
          <w:sz w:val="28"/>
          <w:szCs w:val="28"/>
        </w:rPr>
        <w:t xml:space="preserve">septembrie </w:t>
      </w:r>
      <w:r w:rsidRPr="00AD3F9E">
        <w:rPr>
          <w:rFonts w:ascii="Arial" w:hAnsi="Arial" w:cs="Arial"/>
          <w:b/>
          <w:sz w:val="28"/>
          <w:szCs w:val="28"/>
        </w:rPr>
        <w:t>20</w:t>
      </w:r>
      <w:r>
        <w:rPr>
          <w:rFonts w:ascii="Arial" w:hAnsi="Arial" w:cs="Arial"/>
          <w:b/>
          <w:sz w:val="28"/>
          <w:szCs w:val="28"/>
        </w:rPr>
        <w:t>2</w:t>
      </w:r>
      <w:r w:rsidRPr="00AD3F9E">
        <w:rPr>
          <w:rFonts w:ascii="Arial" w:hAnsi="Arial" w:cs="Arial"/>
          <w:b/>
          <w:sz w:val="28"/>
          <w:szCs w:val="28"/>
        </w:rPr>
        <w:t>1 -</w:t>
      </w:r>
    </w:p>
    <w:p w14:paraId="5B78F276" w14:textId="77777777" w:rsidR="00C36D92" w:rsidRPr="00AD3F9E" w:rsidRDefault="00C36D92" w:rsidP="00C36D92">
      <w:pPr>
        <w:rPr>
          <w:rFonts w:ascii="Arial" w:hAnsi="Arial" w:cs="Arial"/>
          <w:szCs w:val="24"/>
        </w:rPr>
      </w:pPr>
    </w:p>
    <w:p w14:paraId="49FA793A" w14:textId="77777777" w:rsidR="00C36D92" w:rsidRPr="00AD3F9E" w:rsidRDefault="00C36D92" w:rsidP="00C36D92">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7271E190" w:rsidR="00C36D92" w:rsidRPr="00AD3F9E" w:rsidRDefault="00C36D92" w:rsidP="00C36D92">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551DA1">
        <w:rPr>
          <w:rFonts w:ascii="Arial" w:hAnsi="Arial" w:cs="Arial"/>
          <w:sz w:val="24"/>
          <w:szCs w:val="24"/>
        </w:rPr>
        <w:t>14</w:t>
      </w:r>
      <w:r>
        <w:rPr>
          <w:rFonts w:ascii="Arial" w:hAnsi="Arial" w:cs="Arial"/>
          <w:sz w:val="24"/>
          <w:szCs w:val="24"/>
        </w:rPr>
        <w:t xml:space="preserve"> </w:t>
      </w:r>
      <w:r w:rsidR="00551DA1">
        <w:rPr>
          <w:rFonts w:ascii="Arial" w:hAnsi="Arial" w:cs="Arial"/>
          <w:sz w:val="24"/>
          <w:szCs w:val="24"/>
        </w:rPr>
        <w:t>mai</w:t>
      </w:r>
      <w:r>
        <w:rPr>
          <w:rFonts w:ascii="Arial" w:hAnsi="Arial" w:cs="Arial"/>
          <w:sz w:val="24"/>
          <w:szCs w:val="24"/>
        </w:rPr>
        <w:t xml:space="preserve"> 20</w:t>
      </w:r>
      <w:r w:rsidR="00551DA1">
        <w:rPr>
          <w:rFonts w:ascii="Arial" w:hAnsi="Arial" w:cs="Arial"/>
          <w:sz w:val="24"/>
          <w:szCs w:val="24"/>
        </w:rPr>
        <w:t>2</w:t>
      </w:r>
      <w:r>
        <w:rPr>
          <w:rFonts w:ascii="Arial" w:hAnsi="Arial" w:cs="Arial"/>
          <w:sz w:val="24"/>
          <w:szCs w:val="24"/>
        </w:rPr>
        <w:t>1</w:t>
      </w:r>
      <w:r w:rsidRPr="00AD3F9E">
        <w:rPr>
          <w:rFonts w:ascii="Arial" w:hAnsi="Arial" w:cs="Arial"/>
          <w:sz w:val="24"/>
          <w:szCs w:val="24"/>
        </w:rPr>
        <w:t>, a dezbătut și a aprobat măsurile privind organizarea examenului de primire în profesia de avocat în anul 20</w:t>
      </w:r>
      <w:r w:rsidR="00551DA1">
        <w:rPr>
          <w:rFonts w:ascii="Arial" w:hAnsi="Arial" w:cs="Arial"/>
          <w:sz w:val="24"/>
          <w:szCs w:val="24"/>
        </w:rPr>
        <w:t>2</w:t>
      </w:r>
      <w:r w:rsidRPr="00AD3F9E">
        <w:rPr>
          <w:rFonts w:ascii="Arial" w:hAnsi="Arial" w:cs="Arial"/>
          <w:sz w:val="24"/>
          <w:szCs w:val="24"/>
        </w:rPr>
        <w:t xml:space="preserve">1 și a adoptat următoarea </w:t>
      </w:r>
    </w:p>
    <w:p w14:paraId="6CB5627D" w14:textId="77777777" w:rsidR="00AD4B13" w:rsidRDefault="00AD4B13" w:rsidP="00583408">
      <w:pPr>
        <w:jc w:val="center"/>
        <w:rPr>
          <w:rFonts w:ascii="Arial" w:hAnsi="Arial" w:cs="Arial"/>
          <w:b/>
          <w:sz w:val="32"/>
          <w:szCs w:val="32"/>
        </w:rPr>
      </w:pPr>
    </w:p>
    <w:p w14:paraId="1F220C7B" w14:textId="39519027" w:rsidR="005B1F81" w:rsidRPr="00AD3F9E" w:rsidRDefault="00C36D92" w:rsidP="00583408">
      <w:pPr>
        <w:jc w:val="center"/>
        <w:rPr>
          <w:rFonts w:ascii="Arial" w:hAnsi="Arial" w:cs="Arial"/>
          <w:b/>
          <w:sz w:val="32"/>
          <w:szCs w:val="32"/>
        </w:rPr>
      </w:pPr>
      <w:r>
        <w:rPr>
          <w:rFonts w:ascii="Arial" w:hAnsi="Arial" w:cs="Arial"/>
          <w:b/>
          <w:sz w:val="32"/>
          <w:szCs w:val="32"/>
        </w:rPr>
        <w:t>HOTĂRÂRE</w:t>
      </w:r>
      <w:r w:rsidR="005B1F81" w:rsidRPr="00AD3F9E">
        <w:rPr>
          <w:rFonts w:ascii="Arial" w:hAnsi="Arial" w:cs="Arial"/>
          <w:b/>
          <w:sz w:val="32"/>
          <w:szCs w:val="32"/>
        </w:rPr>
        <w:t xml:space="preserve">: </w:t>
      </w:r>
    </w:p>
    <w:p w14:paraId="78457F5B" w14:textId="77777777" w:rsidR="005B1F81" w:rsidRPr="00AD3F9E" w:rsidRDefault="005B1F81" w:rsidP="00583408">
      <w:pPr>
        <w:pStyle w:val="BodyText"/>
        <w:spacing w:line="240" w:lineRule="auto"/>
        <w:rPr>
          <w:rFonts w:ascii="Arial" w:hAnsi="Arial" w:cs="Arial"/>
          <w:sz w:val="24"/>
          <w:szCs w:val="24"/>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0F05EA6D"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5D7A38">
        <w:rPr>
          <w:rFonts w:ascii="Arial" w:hAnsi="Arial" w:cs="Arial"/>
          <w:sz w:val="24"/>
          <w:szCs w:val="24"/>
        </w:rPr>
        <w:t>19</w:t>
      </w:r>
      <w:r w:rsidR="006127C8" w:rsidRPr="00AD3F9E">
        <w:rPr>
          <w:rFonts w:ascii="Arial" w:hAnsi="Arial" w:cs="Arial"/>
          <w:sz w:val="24"/>
          <w:szCs w:val="24"/>
        </w:rPr>
        <w:t xml:space="preserve"> </w:t>
      </w:r>
      <w:r w:rsidR="005452D8">
        <w:rPr>
          <w:rFonts w:ascii="Arial" w:hAnsi="Arial" w:cs="Arial"/>
          <w:sz w:val="24"/>
          <w:szCs w:val="24"/>
        </w:rPr>
        <w:t>septembrie</w:t>
      </w:r>
      <w:r w:rsidR="008D029E" w:rsidRPr="00AD3F9E">
        <w:rPr>
          <w:rFonts w:ascii="Arial" w:hAnsi="Arial" w:cs="Arial"/>
          <w:sz w:val="24"/>
          <w:szCs w:val="24"/>
        </w:rPr>
        <w:t xml:space="preserve"> </w:t>
      </w:r>
      <w:r w:rsidRPr="00AD3F9E">
        <w:rPr>
          <w:rFonts w:ascii="Arial" w:hAnsi="Arial" w:cs="Arial"/>
          <w:sz w:val="24"/>
          <w:szCs w:val="24"/>
        </w:rPr>
        <w:t>20</w:t>
      </w:r>
      <w:r w:rsidR="00126B1D">
        <w:rPr>
          <w:rFonts w:ascii="Arial" w:hAnsi="Arial" w:cs="Arial"/>
          <w:sz w:val="24"/>
          <w:szCs w:val="24"/>
        </w:rPr>
        <w:t>2</w:t>
      </w:r>
      <w:r w:rsidR="005D7A38">
        <w:rPr>
          <w:rFonts w:ascii="Arial" w:hAnsi="Arial" w:cs="Arial"/>
          <w:sz w:val="24"/>
          <w:szCs w:val="24"/>
        </w:rPr>
        <w:t>1</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12DD0931" w:rsidR="005408DE" w:rsidRPr="00AD3F9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3308EC4F"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pe baza propunerilor barourilor, conform Regulamentului de examen. Lista de propuneri va cuprinde mențiuni exprese privind vechimea în profesia de avocat a celui propus și situația în care acesta este "</w:t>
      </w:r>
      <w:r w:rsidR="00D738F1" w:rsidRPr="00AD3F9E">
        <w:rPr>
          <w:rFonts w:ascii="Arial" w:hAnsi="Arial" w:cs="Arial"/>
          <w:i/>
          <w:sz w:val="24"/>
          <w:szCs w:val="24"/>
        </w:rPr>
        <w:t>cadru didactic universitar</w:t>
      </w:r>
      <w:r w:rsidR="00D738F1" w:rsidRPr="00AD3F9E">
        <w:rPr>
          <w:rFonts w:ascii="Arial" w:hAnsi="Arial" w:cs="Arial"/>
          <w:sz w:val="24"/>
          <w:szCs w:val="24"/>
        </w:rPr>
        <w:t xml:space="preserve">". </w:t>
      </w:r>
    </w:p>
    <w:p w14:paraId="041D7FC0" w14:textId="77777777" w:rsidR="00D738F1" w:rsidRPr="00AD3F9E" w:rsidRDefault="00D738F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La formularea propunerilor se vor avea în vedere prevederile art. 17 alin. (4) al Legii nr. 51/1995 și prevederile Regulamentului de examen susmenționat. Propunerile se vor face distinct pentru fiecare dintre comisiile prevăzute de Regulament.</w:t>
      </w:r>
    </w:p>
    <w:p w14:paraId="7ABA9302" w14:textId="75C30159" w:rsidR="00D738F1" w:rsidRPr="00AD3F9E" w:rsidRDefault="00D738F1" w:rsidP="00D738F1">
      <w:pPr>
        <w:pStyle w:val="BodyText"/>
        <w:spacing w:line="240" w:lineRule="auto"/>
        <w:rPr>
          <w:rFonts w:ascii="Arial" w:hAnsi="Arial" w:cs="Arial"/>
          <w:sz w:val="24"/>
          <w:szCs w:val="24"/>
        </w:rPr>
      </w:pPr>
      <w:r w:rsidRPr="00AD3F9E">
        <w:rPr>
          <w:rFonts w:ascii="Arial" w:hAnsi="Arial" w:cs="Arial"/>
          <w:b/>
          <w:sz w:val="24"/>
          <w:szCs w:val="24"/>
        </w:rPr>
        <w:tab/>
        <w:t>(3)</w:t>
      </w:r>
      <w:r w:rsidRPr="00AD3F9E">
        <w:rPr>
          <w:rFonts w:ascii="Arial" w:hAnsi="Arial" w:cs="Arial"/>
          <w:sz w:val="24"/>
          <w:szCs w:val="24"/>
        </w:rPr>
        <w:t xml:space="preserve"> Propunerile barourilor vor fi transmise spre avizare la centrele teritoriale I.N.P.P.A., care, după confruntarea acestora cu evidențele de care dispun, vor remite I.N.P.P.A., până la data de </w:t>
      </w:r>
      <w:r w:rsidR="002E0B36">
        <w:rPr>
          <w:rFonts w:ascii="Arial" w:hAnsi="Arial" w:cs="Arial"/>
          <w:sz w:val="24"/>
          <w:szCs w:val="24"/>
        </w:rPr>
        <w:t>26</w:t>
      </w:r>
      <w:r w:rsidRPr="00AD3F9E">
        <w:rPr>
          <w:rFonts w:ascii="Arial" w:hAnsi="Arial" w:cs="Arial"/>
          <w:sz w:val="24"/>
          <w:szCs w:val="24"/>
        </w:rPr>
        <w:t xml:space="preserve"> august 20</w:t>
      </w:r>
      <w:r w:rsidR="002E0B36">
        <w:rPr>
          <w:rFonts w:ascii="Arial" w:hAnsi="Arial" w:cs="Arial"/>
          <w:sz w:val="24"/>
          <w:szCs w:val="24"/>
        </w:rPr>
        <w:t>2</w:t>
      </w:r>
      <w:r w:rsidRPr="00AD3F9E">
        <w:rPr>
          <w:rFonts w:ascii="Arial" w:hAnsi="Arial" w:cs="Arial"/>
          <w:sz w:val="24"/>
          <w:szCs w:val="24"/>
        </w:rPr>
        <w:t xml:space="preserve">1, propunerile avizate privind membrii Comisiei naționale de examen, având în vedere și experiența anterioară a celor propuși. </w:t>
      </w:r>
    </w:p>
    <w:p w14:paraId="036D7129" w14:textId="09D1751C" w:rsidR="005B1F81" w:rsidRPr="00AD3F9E" w:rsidRDefault="005B1F81" w:rsidP="00DD71CE">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2E0B36">
        <w:rPr>
          <w:rFonts w:ascii="Arial" w:hAnsi="Arial" w:cs="Arial"/>
          <w:b/>
          <w:sz w:val="24"/>
          <w:szCs w:val="24"/>
        </w:rPr>
        <w:t>4</w:t>
      </w:r>
      <w:r w:rsidRPr="00AD3F9E">
        <w:rPr>
          <w:rFonts w:ascii="Arial" w:hAnsi="Arial" w:cs="Arial"/>
          <w:b/>
          <w:sz w:val="24"/>
          <w:szCs w:val="24"/>
        </w:rPr>
        <w:t xml:space="preserve">) </w:t>
      </w:r>
      <w:r w:rsidRPr="00AD3F9E">
        <w:rPr>
          <w:rFonts w:ascii="Arial" w:hAnsi="Arial" w:cs="Arial"/>
          <w:sz w:val="24"/>
          <w:szCs w:val="24"/>
        </w:rPr>
        <w:t xml:space="preserve">La data de </w:t>
      </w:r>
      <w:r w:rsidR="00D17B9C">
        <w:rPr>
          <w:rFonts w:ascii="Arial" w:hAnsi="Arial" w:cs="Arial"/>
          <w:sz w:val="24"/>
          <w:szCs w:val="24"/>
        </w:rPr>
        <w:t>0</w:t>
      </w:r>
      <w:r w:rsidR="005D7A38">
        <w:rPr>
          <w:rFonts w:ascii="Arial" w:hAnsi="Arial" w:cs="Arial"/>
          <w:sz w:val="24"/>
          <w:szCs w:val="24"/>
        </w:rPr>
        <w:t>3</w:t>
      </w:r>
      <w:r w:rsidR="006127C8" w:rsidRPr="00AD3F9E">
        <w:rPr>
          <w:rFonts w:ascii="Arial" w:hAnsi="Arial" w:cs="Arial"/>
          <w:sz w:val="24"/>
          <w:szCs w:val="24"/>
        </w:rPr>
        <w:t xml:space="preserve"> </w:t>
      </w:r>
      <w:r w:rsidR="00D17B9C">
        <w:rPr>
          <w:rFonts w:ascii="Arial" w:hAnsi="Arial" w:cs="Arial"/>
          <w:sz w:val="24"/>
          <w:szCs w:val="24"/>
        </w:rPr>
        <w:t>septembrie</w:t>
      </w:r>
      <w:r w:rsidR="00D80BD3" w:rsidRPr="00AD3F9E">
        <w:rPr>
          <w:rFonts w:ascii="Arial" w:hAnsi="Arial" w:cs="Arial"/>
          <w:sz w:val="24"/>
          <w:szCs w:val="24"/>
        </w:rPr>
        <w:t xml:space="preserve"> 20</w:t>
      </w:r>
      <w:r w:rsidR="00515B34">
        <w:rPr>
          <w:rFonts w:ascii="Arial" w:hAnsi="Arial" w:cs="Arial"/>
          <w:sz w:val="24"/>
          <w:szCs w:val="24"/>
        </w:rPr>
        <w:t>2</w:t>
      </w:r>
      <w:r w:rsidR="005D7A38">
        <w:rPr>
          <w:rFonts w:ascii="Arial" w:hAnsi="Arial" w:cs="Arial"/>
          <w:sz w:val="24"/>
          <w:szCs w:val="24"/>
        </w:rPr>
        <w:t>1</w:t>
      </w:r>
      <w:r w:rsidR="00D80BD3" w:rsidRPr="00AD3F9E">
        <w:rPr>
          <w:rFonts w:ascii="Arial" w:hAnsi="Arial" w:cs="Arial"/>
          <w:sz w:val="24"/>
          <w:szCs w:val="24"/>
        </w:rPr>
        <w:t xml:space="preserve"> </w:t>
      </w:r>
      <w:r w:rsidRPr="00AD3F9E">
        <w:rPr>
          <w:rFonts w:ascii="Arial" w:hAnsi="Arial" w:cs="Arial"/>
          <w:sz w:val="24"/>
          <w:szCs w:val="24"/>
        </w:rPr>
        <w:t xml:space="preserve">I.N.P.P.A. va transmite la U.N.B.R. propunerile </w:t>
      </w:r>
      <w:r w:rsidR="00515B34">
        <w:rPr>
          <w:rFonts w:ascii="Arial" w:hAnsi="Arial" w:cs="Arial"/>
          <w:sz w:val="24"/>
          <w:szCs w:val="24"/>
        </w:rPr>
        <w:t>privind compunerea Comisiei naționale de examen</w:t>
      </w:r>
      <w:r w:rsidRPr="00AD3F9E">
        <w:rPr>
          <w:rFonts w:ascii="Arial" w:hAnsi="Arial" w:cs="Arial"/>
          <w:sz w:val="24"/>
          <w:szCs w:val="24"/>
        </w:rPr>
        <w:t xml:space="preserve">. </w:t>
      </w:r>
      <w:r w:rsidR="00335FC9" w:rsidRPr="00AD3F9E">
        <w:rPr>
          <w:rFonts w:ascii="Arial" w:hAnsi="Arial" w:cs="Arial"/>
          <w:sz w:val="24"/>
          <w:szCs w:val="24"/>
        </w:rPr>
        <w:t>Până l</w:t>
      </w:r>
      <w:r w:rsidRPr="00AD3F9E">
        <w:rPr>
          <w:rFonts w:ascii="Arial" w:hAnsi="Arial" w:cs="Arial"/>
          <w:sz w:val="24"/>
          <w:szCs w:val="24"/>
        </w:rPr>
        <w:t xml:space="preserve">a data de </w:t>
      </w:r>
      <w:r w:rsidR="00515B34">
        <w:rPr>
          <w:rFonts w:ascii="Arial" w:hAnsi="Arial" w:cs="Arial"/>
          <w:sz w:val="24"/>
          <w:szCs w:val="24"/>
        </w:rPr>
        <w:t>1</w:t>
      </w:r>
      <w:r w:rsidR="005D7A38">
        <w:rPr>
          <w:rFonts w:ascii="Arial" w:hAnsi="Arial" w:cs="Arial"/>
          <w:sz w:val="24"/>
          <w:szCs w:val="24"/>
        </w:rPr>
        <w:t>0</w:t>
      </w:r>
      <w:r w:rsidR="00A226A7">
        <w:rPr>
          <w:rFonts w:ascii="Arial" w:hAnsi="Arial" w:cs="Arial"/>
          <w:sz w:val="24"/>
          <w:szCs w:val="24"/>
        </w:rPr>
        <w:t xml:space="preserve"> </w:t>
      </w:r>
      <w:r w:rsidR="00D17B9C">
        <w:rPr>
          <w:rFonts w:ascii="Arial" w:hAnsi="Arial" w:cs="Arial"/>
          <w:sz w:val="24"/>
          <w:szCs w:val="24"/>
        </w:rPr>
        <w:t>septembrie</w:t>
      </w:r>
      <w:r w:rsidR="00D80BD3" w:rsidRPr="00AD3F9E">
        <w:rPr>
          <w:rFonts w:ascii="Arial" w:hAnsi="Arial" w:cs="Arial"/>
          <w:sz w:val="24"/>
          <w:szCs w:val="24"/>
        </w:rPr>
        <w:t xml:space="preserve"> 20</w:t>
      </w:r>
      <w:r w:rsidR="00515B34">
        <w:rPr>
          <w:rFonts w:ascii="Arial" w:hAnsi="Arial" w:cs="Arial"/>
          <w:sz w:val="24"/>
          <w:szCs w:val="24"/>
        </w:rPr>
        <w:t>2</w:t>
      </w:r>
      <w:r w:rsidR="005D7A38">
        <w:rPr>
          <w:rFonts w:ascii="Arial" w:hAnsi="Arial" w:cs="Arial"/>
          <w:sz w:val="24"/>
          <w:szCs w:val="24"/>
        </w:rPr>
        <w:t>1</w:t>
      </w:r>
      <w:r w:rsidRPr="00AD3F9E">
        <w:rPr>
          <w:rFonts w:ascii="Arial" w:hAnsi="Arial" w:cs="Arial"/>
          <w:sz w:val="24"/>
          <w:szCs w:val="24"/>
        </w:rPr>
        <w:t xml:space="preserve">, la convocarea </w:t>
      </w:r>
      <w:r w:rsidR="00223338" w:rsidRPr="00AD3F9E">
        <w:rPr>
          <w:rFonts w:ascii="Arial" w:hAnsi="Arial" w:cs="Arial"/>
          <w:sz w:val="24"/>
          <w:szCs w:val="24"/>
        </w:rPr>
        <w:t>Pre</w:t>
      </w:r>
      <w:r w:rsidR="00982530" w:rsidRPr="00AD3F9E">
        <w:rPr>
          <w:rFonts w:ascii="Arial" w:hAnsi="Arial" w:cs="Arial"/>
          <w:sz w:val="24"/>
          <w:szCs w:val="24"/>
        </w:rPr>
        <w:t>ș</w:t>
      </w:r>
      <w:r w:rsidR="00223338" w:rsidRPr="00AD3F9E">
        <w:rPr>
          <w:rFonts w:ascii="Arial" w:hAnsi="Arial" w:cs="Arial"/>
          <w:sz w:val="24"/>
          <w:szCs w:val="24"/>
        </w:rPr>
        <w:t>edintelui</w:t>
      </w:r>
      <w:r w:rsidRPr="00AD3F9E">
        <w:rPr>
          <w:rFonts w:ascii="Arial" w:hAnsi="Arial" w:cs="Arial"/>
          <w:sz w:val="24"/>
          <w:szCs w:val="24"/>
        </w:rPr>
        <w:t xml:space="preserve"> U.N.B.R., va avea loc </w:t>
      </w:r>
      <w:r w:rsidR="00982530" w:rsidRPr="00AD3F9E">
        <w:rPr>
          <w:rFonts w:ascii="Arial" w:hAnsi="Arial" w:cs="Arial"/>
          <w:sz w:val="24"/>
          <w:szCs w:val="24"/>
        </w:rPr>
        <w:t>ș</w:t>
      </w:r>
      <w:r w:rsidRPr="00AD3F9E">
        <w:rPr>
          <w:rFonts w:ascii="Arial" w:hAnsi="Arial" w:cs="Arial"/>
          <w:sz w:val="24"/>
          <w:szCs w:val="24"/>
        </w:rPr>
        <w:t>edin</w:t>
      </w:r>
      <w:r w:rsidR="009C65EC" w:rsidRPr="00AD3F9E">
        <w:rPr>
          <w:rFonts w:ascii="Arial" w:hAnsi="Arial" w:cs="Arial"/>
          <w:sz w:val="24"/>
          <w:szCs w:val="24"/>
        </w:rPr>
        <w:t>ț</w:t>
      </w:r>
      <w:r w:rsidRPr="00AD3F9E">
        <w:rPr>
          <w:rFonts w:ascii="Arial" w:hAnsi="Arial" w:cs="Arial"/>
          <w:sz w:val="24"/>
          <w:szCs w:val="24"/>
        </w:rPr>
        <w:t>a Comisiei Permanente a U.N.B.R. pentru desemnarea Comisiei na</w:t>
      </w:r>
      <w:r w:rsidR="009C65EC" w:rsidRPr="00AD3F9E">
        <w:rPr>
          <w:rFonts w:ascii="Arial" w:hAnsi="Arial" w:cs="Arial"/>
          <w:sz w:val="24"/>
          <w:szCs w:val="24"/>
        </w:rPr>
        <w:t>ț</w:t>
      </w:r>
      <w:r w:rsidRPr="00AD3F9E">
        <w:rPr>
          <w:rFonts w:ascii="Arial" w:hAnsi="Arial" w:cs="Arial"/>
          <w:sz w:val="24"/>
          <w:szCs w:val="24"/>
        </w:rPr>
        <w:t>ionale de examen. Desemnarea Comisiei na</w:t>
      </w:r>
      <w:r w:rsidR="009C65EC" w:rsidRPr="00AD3F9E">
        <w:rPr>
          <w:rFonts w:ascii="Arial" w:hAnsi="Arial" w:cs="Arial"/>
          <w:sz w:val="24"/>
          <w:szCs w:val="24"/>
        </w:rPr>
        <w:t>ț</w:t>
      </w:r>
      <w:r w:rsidRPr="00AD3F9E">
        <w:rPr>
          <w:rFonts w:ascii="Arial" w:hAnsi="Arial" w:cs="Arial"/>
          <w:sz w:val="24"/>
          <w:szCs w:val="24"/>
        </w:rPr>
        <w:t>ion</w:t>
      </w:r>
      <w:r w:rsidR="005452D8">
        <w:rPr>
          <w:rFonts w:ascii="Arial" w:hAnsi="Arial" w:cs="Arial"/>
          <w:sz w:val="24"/>
          <w:szCs w:val="24"/>
        </w:rPr>
        <w:t>ale de examen, potrivit. art. 67</w:t>
      </w:r>
      <w:r w:rsidRPr="00AD3F9E">
        <w:rPr>
          <w:rFonts w:ascii="Arial" w:hAnsi="Arial" w:cs="Arial"/>
          <w:sz w:val="24"/>
          <w:szCs w:val="24"/>
        </w:rPr>
        <w:t xml:space="preserve"> alin. (1) lit. g) din Legea nr. 51/1995 republicată, se va face prin aplicarea cu prioritate a dispozi</w:t>
      </w:r>
      <w:r w:rsidR="009C65EC" w:rsidRPr="00AD3F9E">
        <w:rPr>
          <w:rFonts w:ascii="Arial" w:hAnsi="Arial" w:cs="Arial"/>
          <w:sz w:val="24"/>
          <w:szCs w:val="24"/>
        </w:rPr>
        <w:t>ț</w:t>
      </w:r>
      <w:r w:rsidRPr="00AD3F9E">
        <w:rPr>
          <w:rFonts w:ascii="Arial" w:hAnsi="Arial" w:cs="Arial"/>
          <w:sz w:val="24"/>
          <w:szCs w:val="24"/>
        </w:rPr>
        <w:t>iilor art. 17 alin. (4)  din Lege care reglementează constituirea comisiei "</w:t>
      </w:r>
      <w:r w:rsidRPr="00AD3F9E">
        <w:rPr>
          <w:rFonts w:ascii="Arial" w:hAnsi="Arial" w:cs="Arial"/>
          <w:i/>
          <w:sz w:val="24"/>
          <w:szCs w:val="24"/>
        </w:rPr>
        <w:t>cu precădere - din avoca</w:t>
      </w:r>
      <w:r w:rsidR="009C65EC" w:rsidRPr="00AD3F9E">
        <w:rPr>
          <w:rFonts w:ascii="Arial" w:hAnsi="Arial" w:cs="Arial"/>
          <w:i/>
          <w:sz w:val="24"/>
          <w:szCs w:val="24"/>
        </w:rPr>
        <w:t>ț</w:t>
      </w:r>
      <w:r w:rsidRPr="00AD3F9E">
        <w:rPr>
          <w:rFonts w:ascii="Arial" w:hAnsi="Arial" w:cs="Arial"/>
          <w:i/>
          <w:sz w:val="24"/>
          <w:szCs w:val="24"/>
        </w:rPr>
        <w:t>i cadre didactice universitare cu vechimea de minim 10 ani în profesia de avocat</w:t>
      </w:r>
      <w:r w:rsidRPr="00AD3F9E">
        <w:rPr>
          <w:rFonts w:ascii="Arial" w:hAnsi="Arial" w:cs="Arial"/>
          <w:sz w:val="24"/>
          <w:szCs w:val="24"/>
        </w:rPr>
        <w:t>". Dispozi</w:t>
      </w:r>
      <w:r w:rsidR="009C65EC" w:rsidRPr="00AD3F9E">
        <w:rPr>
          <w:rFonts w:ascii="Arial" w:hAnsi="Arial" w:cs="Arial"/>
          <w:sz w:val="24"/>
          <w:szCs w:val="24"/>
        </w:rPr>
        <w:t>ț</w:t>
      </w:r>
      <w:r w:rsidRPr="00AD3F9E">
        <w:rPr>
          <w:rFonts w:ascii="Arial" w:hAnsi="Arial" w:cs="Arial"/>
          <w:sz w:val="24"/>
          <w:szCs w:val="24"/>
        </w:rPr>
        <w:t>iile art. 33 alin. (5) din Statut care consacră compunerea "</w:t>
      </w:r>
      <w:r w:rsidRPr="00AD3F9E">
        <w:rPr>
          <w:rFonts w:ascii="Arial" w:hAnsi="Arial" w:cs="Arial"/>
          <w:i/>
          <w:sz w:val="24"/>
          <w:szCs w:val="24"/>
        </w:rPr>
        <w:t>în majoritate</w:t>
      </w:r>
      <w:r w:rsidRPr="00AD3F9E">
        <w:rPr>
          <w:rFonts w:ascii="Arial" w:hAnsi="Arial" w:cs="Arial"/>
          <w:sz w:val="24"/>
          <w:szCs w:val="24"/>
        </w:rPr>
        <w:t>" a Comisiei de examen din avoca</w:t>
      </w:r>
      <w:r w:rsidR="009C65EC" w:rsidRPr="00AD3F9E">
        <w:rPr>
          <w:rFonts w:ascii="Arial" w:hAnsi="Arial" w:cs="Arial"/>
          <w:sz w:val="24"/>
          <w:szCs w:val="24"/>
        </w:rPr>
        <w:t>ț</w:t>
      </w:r>
      <w:r w:rsidRPr="00AD3F9E">
        <w:rPr>
          <w:rFonts w:ascii="Arial" w:hAnsi="Arial" w:cs="Arial"/>
          <w:sz w:val="24"/>
          <w:szCs w:val="24"/>
        </w:rPr>
        <w:t xml:space="preserve">i - cadre didactice universitare cu o vechime în profesie de 10 ani se interpretează în limitele impuse de art. 17 alin. (4)  din Lege în sensul </w:t>
      </w:r>
      <w:r w:rsidRPr="00AD3F9E">
        <w:rPr>
          <w:rFonts w:ascii="Arial" w:hAnsi="Arial" w:cs="Arial"/>
          <w:sz w:val="24"/>
          <w:szCs w:val="24"/>
        </w:rPr>
        <w:lastRenderedPageBreak/>
        <w:t>că, în condi</w:t>
      </w:r>
      <w:r w:rsidR="009C65EC" w:rsidRPr="00AD3F9E">
        <w:rPr>
          <w:rFonts w:ascii="Arial" w:hAnsi="Arial" w:cs="Arial"/>
          <w:sz w:val="24"/>
          <w:szCs w:val="24"/>
        </w:rPr>
        <w:t>ț</w:t>
      </w:r>
      <w:r w:rsidRPr="00AD3F9E">
        <w:rPr>
          <w:rFonts w:ascii="Arial" w:hAnsi="Arial" w:cs="Arial"/>
          <w:sz w:val="24"/>
          <w:szCs w:val="24"/>
        </w:rPr>
        <w:t>iile în care între cei propu</w:t>
      </w:r>
      <w:r w:rsidR="00982530" w:rsidRPr="00AD3F9E">
        <w:rPr>
          <w:rFonts w:ascii="Arial" w:hAnsi="Arial" w:cs="Arial"/>
          <w:sz w:val="24"/>
          <w:szCs w:val="24"/>
        </w:rPr>
        <w:t>ș</w:t>
      </w:r>
      <w:r w:rsidRPr="00AD3F9E">
        <w:rPr>
          <w:rFonts w:ascii="Arial" w:hAnsi="Arial" w:cs="Arial"/>
          <w:sz w:val="24"/>
          <w:szCs w:val="24"/>
        </w:rPr>
        <w:t xml:space="preserve">i să facă parte din comisia de examen se află </w:t>
      </w:r>
      <w:r w:rsidR="00982530" w:rsidRPr="00AD3F9E">
        <w:rPr>
          <w:rFonts w:ascii="Arial" w:hAnsi="Arial" w:cs="Arial"/>
          <w:sz w:val="24"/>
          <w:szCs w:val="24"/>
        </w:rPr>
        <w:t>ș</w:t>
      </w:r>
      <w:r w:rsidRPr="00AD3F9E">
        <w:rPr>
          <w:rFonts w:ascii="Arial" w:hAnsi="Arial" w:cs="Arial"/>
          <w:sz w:val="24"/>
          <w:szCs w:val="24"/>
        </w:rPr>
        <w:t>i avoca</w:t>
      </w:r>
      <w:r w:rsidR="009C65EC" w:rsidRPr="00AD3F9E">
        <w:rPr>
          <w:rFonts w:ascii="Arial" w:hAnsi="Arial" w:cs="Arial"/>
          <w:sz w:val="24"/>
          <w:szCs w:val="24"/>
        </w:rPr>
        <w:t>ț</w:t>
      </w:r>
      <w:r w:rsidRPr="00AD3F9E">
        <w:rPr>
          <w:rFonts w:ascii="Arial" w:hAnsi="Arial" w:cs="Arial"/>
          <w:sz w:val="24"/>
          <w:szCs w:val="24"/>
        </w:rPr>
        <w:t>i - cadre didactice, ace</w:t>
      </w:r>
      <w:r w:rsidR="00982530" w:rsidRPr="00AD3F9E">
        <w:rPr>
          <w:rFonts w:ascii="Arial" w:hAnsi="Arial" w:cs="Arial"/>
          <w:sz w:val="24"/>
          <w:szCs w:val="24"/>
        </w:rPr>
        <w:t>ș</w:t>
      </w:r>
      <w:r w:rsidRPr="00AD3F9E">
        <w:rPr>
          <w:rFonts w:ascii="Arial" w:hAnsi="Arial" w:cs="Arial"/>
          <w:sz w:val="24"/>
          <w:szCs w:val="24"/>
        </w:rPr>
        <w:t>tia din urmă vor fi desemna</w:t>
      </w:r>
      <w:r w:rsidR="009C65EC" w:rsidRPr="00AD3F9E">
        <w:rPr>
          <w:rFonts w:ascii="Arial" w:hAnsi="Arial" w:cs="Arial"/>
          <w:sz w:val="24"/>
          <w:szCs w:val="24"/>
        </w:rPr>
        <w:t>ț</w:t>
      </w:r>
      <w:r w:rsidRPr="00AD3F9E">
        <w:rPr>
          <w:rFonts w:ascii="Arial" w:hAnsi="Arial" w:cs="Arial"/>
          <w:sz w:val="24"/>
          <w:szCs w:val="24"/>
        </w:rPr>
        <w:t>i "</w:t>
      </w:r>
      <w:r w:rsidRPr="00AD3F9E">
        <w:rPr>
          <w:rFonts w:ascii="Arial" w:hAnsi="Arial" w:cs="Arial"/>
          <w:i/>
          <w:sz w:val="24"/>
          <w:szCs w:val="24"/>
        </w:rPr>
        <w:t>cu precădere</w:t>
      </w:r>
      <w:r w:rsidRPr="00AD3F9E">
        <w:rPr>
          <w:rFonts w:ascii="Arial" w:hAnsi="Arial" w:cs="Arial"/>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139DBCA"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515B34">
        <w:rPr>
          <w:rFonts w:ascii="Arial" w:hAnsi="Arial" w:cs="Arial"/>
          <w:sz w:val="24"/>
          <w:szCs w:val="24"/>
        </w:rPr>
        <w:t>2</w:t>
      </w:r>
      <w:r w:rsidR="00D738F1">
        <w:rPr>
          <w:rFonts w:ascii="Arial" w:hAnsi="Arial" w:cs="Arial"/>
          <w:sz w:val="24"/>
          <w:szCs w:val="24"/>
        </w:rPr>
        <w:t>6</w:t>
      </w:r>
      <w:r w:rsidR="00D17B9C">
        <w:rPr>
          <w:rFonts w:ascii="Arial" w:hAnsi="Arial" w:cs="Arial"/>
          <w:sz w:val="24"/>
          <w:szCs w:val="24"/>
        </w:rPr>
        <w:t xml:space="preserve"> iulie</w:t>
      </w:r>
      <w:r w:rsidR="00335FC9" w:rsidRPr="00AD3F9E">
        <w:rPr>
          <w:rFonts w:ascii="Arial" w:hAnsi="Arial" w:cs="Arial"/>
          <w:sz w:val="24"/>
          <w:szCs w:val="24"/>
        </w:rPr>
        <w:t xml:space="preserve"> </w:t>
      </w:r>
      <w:r w:rsidR="00D80BD3" w:rsidRPr="00AD3F9E">
        <w:rPr>
          <w:rFonts w:ascii="Arial" w:hAnsi="Arial" w:cs="Arial"/>
          <w:sz w:val="24"/>
          <w:szCs w:val="24"/>
        </w:rPr>
        <w:t>20</w:t>
      </w:r>
      <w:r w:rsidR="00515B34">
        <w:rPr>
          <w:rFonts w:ascii="Arial" w:hAnsi="Arial" w:cs="Arial"/>
          <w:sz w:val="24"/>
          <w:szCs w:val="24"/>
        </w:rPr>
        <w:t>2</w:t>
      </w:r>
      <w:r w:rsidR="00D738F1">
        <w:rPr>
          <w:rFonts w:ascii="Arial" w:hAnsi="Arial" w:cs="Arial"/>
          <w:sz w:val="24"/>
          <w:szCs w:val="24"/>
        </w:rPr>
        <w:t>1</w:t>
      </w:r>
      <w:r w:rsidRPr="00AD3F9E">
        <w:rPr>
          <w:rFonts w:ascii="Arial" w:hAnsi="Arial" w:cs="Arial"/>
          <w:sz w:val="24"/>
          <w:szCs w:val="24"/>
        </w:rPr>
        <w:t xml:space="preserve"> </w:t>
      </w:r>
      <w:r w:rsidR="006127C8" w:rsidRPr="00AD3F9E">
        <w:rPr>
          <w:rFonts w:ascii="Arial" w:hAnsi="Arial" w:cs="Arial"/>
          <w:sz w:val="24"/>
          <w:szCs w:val="24"/>
        </w:rPr>
        <w:t>(ora 8.00) –</w:t>
      </w:r>
      <w:r w:rsidRPr="00AD3F9E">
        <w:rPr>
          <w:rFonts w:ascii="Arial" w:hAnsi="Arial" w:cs="Arial"/>
          <w:sz w:val="24"/>
          <w:szCs w:val="24"/>
        </w:rPr>
        <w:t xml:space="preserve"> </w:t>
      </w:r>
      <w:r w:rsidR="00A226A7">
        <w:rPr>
          <w:rFonts w:ascii="Arial" w:hAnsi="Arial" w:cs="Arial"/>
          <w:sz w:val="24"/>
          <w:szCs w:val="24"/>
        </w:rPr>
        <w:t>2</w:t>
      </w:r>
      <w:r w:rsidR="00D738F1">
        <w:rPr>
          <w:rFonts w:ascii="Arial" w:hAnsi="Arial" w:cs="Arial"/>
          <w:sz w:val="24"/>
          <w:szCs w:val="24"/>
        </w:rPr>
        <w:t>0</w:t>
      </w:r>
      <w:r w:rsidR="008D029E" w:rsidRPr="00AD3F9E">
        <w:rPr>
          <w:rFonts w:ascii="Arial" w:hAnsi="Arial" w:cs="Arial"/>
          <w:sz w:val="24"/>
          <w:szCs w:val="24"/>
        </w:rPr>
        <w:t xml:space="preserve"> </w:t>
      </w:r>
      <w:r w:rsidR="00D17B9C">
        <w:rPr>
          <w:rFonts w:ascii="Arial" w:hAnsi="Arial" w:cs="Arial"/>
          <w:sz w:val="24"/>
          <w:szCs w:val="24"/>
        </w:rPr>
        <w:t>august</w:t>
      </w:r>
      <w:r w:rsidR="008D029E"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D738F1">
        <w:rPr>
          <w:rFonts w:ascii="Arial" w:hAnsi="Arial" w:cs="Arial"/>
          <w:sz w:val="24"/>
          <w:szCs w:val="24"/>
        </w:rPr>
        <w:t>1</w:t>
      </w:r>
      <w:r w:rsidR="006127C8" w:rsidRPr="00AD3F9E">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7BA8B88E"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515B34">
        <w:rPr>
          <w:rFonts w:ascii="Arial" w:hAnsi="Arial" w:cs="Arial"/>
          <w:szCs w:val="24"/>
        </w:rPr>
        <w:t>2</w:t>
      </w:r>
      <w:r w:rsidR="00D738F1">
        <w:rPr>
          <w:rFonts w:ascii="Arial" w:hAnsi="Arial" w:cs="Arial"/>
          <w:szCs w:val="24"/>
        </w:rPr>
        <w:t>0</w:t>
      </w:r>
      <w:r w:rsidR="00515B34">
        <w:rPr>
          <w:rFonts w:ascii="Arial" w:hAnsi="Arial" w:cs="Arial"/>
          <w:szCs w:val="24"/>
        </w:rPr>
        <w:t xml:space="preserve"> </w:t>
      </w:r>
      <w:r w:rsidR="00D17B9C">
        <w:rPr>
          <w:rFonts w:ascii="Arial" w:hAnsi="Arial" w:cs="Arial"/>
          <w:szCs w:val="24"/>
        </w:rPr>
        <w:t>august</w:t>
      </w:r>
      <w:r w:rsidR="00D80BD3" w:rsidRPr="00AD3F9E">
        <w:rPr>
          <w:rFonts w:ascii="Arial" w:hAnsi="Arial" w:cs="Arial"/>
          <w:szCs w:val="24"/>
        </w:rPr>
        <w:t xml:space="preserve"> </w:t>
      </w:r>
      <w:r w:rsidRPr="00AD3F9E">
        <w:rPr>
          <w:rFonts w:ascii="Arial" w:hAnsi="Arial" w:cs="Arial"/>
          <w:szCs w:val="24"/>
        </w:rPr>
        <w:t>20</w:t>
      </w:r>
      <w:r w:rsidR="00515B34">
        <w:rPr>
          <w:rFonts w:ascii="Arial" w:hAnsi="Arial" w:cs="Arial"/>
          <w:szCs w:val="24"/>
        </w:rPr>
        <w:t>2</w:t>
      </w:r>
      <w:r w:rsidR="00D738F1">
        <w:rPr>
          <w:rFonts w:ascii="Arial" w:hAnsi="Arial" w:cs="Arial"/>
          <w:szCs w:val="24"/>
        </w:rPr>
        <w:t>1</w:t>
      </w:r>
      <w:r w:rsidRPr="00AD3F9E">
        <w:rPr>
          <w:rFonts w:ascii="Arial" w:hAnsi="Arial" w:cs="Arial"/>
          <w:szCs w:val="24"/>
        </w:rPr>
        <w:t xml:space="preserve"> </w:t>
      </w:r>
      <w:r w:rsidR="00335FC9" w:rsidRPr="00AD3F9E">
        <w:rPr>
          <w:rFonts w:ascii="Arial" w:hAnsi="Arial" w:cs="Arial"/>
          <w:szCs w:val="24"/>
        </w:rPr>
        <w:t xml:space="preserve">– </w:t>
      </w:r>
      <w:r w:rsidR="00D17B9C">
        <w:rPr>
          <w:rFonts w:ascii="Arial" w:hAnsi="Arial" w:cs="Arial"/>
          <w:szCs w:val="24"/>
        </w:rPr>
        <w:t>2</w:t>
      </w:r>
      <w:r w:rsidR="00D738F1">
        <w:rPr>
          <w:rFonts w:ascii="Arial" w:hAnsi="Arial" w:cs="Arial"/>
          <w:szCs w:val="24"/>
        </w:rPr>
        <w:t>7</w:t>
      </w:r>
      <w:r w:rsidR="00E83F6E">
        <w:rPr>
          <w:rFonts w:ascii="Arial" w:hAnsi="Arial" w:cs="Arial"/>
          <w:szCs w:val="24"/>
        </w:rPr>
        <w:t xml:space="preserve"> august</w:t>
      </w:r>
      <w:r w:rsidR="006127C8" w:rsidRPr="00AD3F9E">
        <w:rPr>
          <w:rFonts w:ascii="Arial" w:hAnsi="Arial" w:cs="Arial"/>
          <w:szCs w:val="24"/>
        </w:rPr>
        <w:t xml:space="preserve"> 20</w:t>
      </w:r>
      <w:r w:rsidR="00515B34">
        <w:rPr>
          <w:rFonts w:ascii="Arial" w:hAnsi="Arial" w:cs="Arial"/>
          <w:szCs w:val="24"/>
        </w:rPr>
        <w:t>2</w:t>
      </w:r>
      <w:r w:rsidR="00D738F1">
        <w:rPr>
          <w:rFonts w:ascii="Arial" w:hAnsi="Arial" w:cs="Arial"/>
          <w:szCs w:val="24"/>
        </w:rPr>
        <w:t>1</w:t>
      </w:r>
      <w:r w:rsidR="006127C8" w:rsidRPr="00AD3F9E">
        <w:rPr>
          <w:rFonts w:ascii="Arial" w:hAnsi="Arial" w:cs="Arial"/>
          <w:szCs w:val="24"/>
        </w:rPr>
        <w:t xml:space="preserve"> </w:t>
      </w:r>
      <w:r w:rsidRPr="00AD3F9E">
        <w:rPr>
          <w:rFonts w:ascii="Arial" w:hAnsi="Arial" w:cs="Arial"/>
          <w:szCs w:val="24"/>
        </w:rPr>
        <w:t>barourile 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12BD11C8"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anul universitar 20</w:t>
      </w:r>
      <w:r w:rsidR="00515B34">
        <w:rPr>
          <w:rFonts w:ascii="Arial" w:hAnsi="Arial" w:cs="Arial"/>
          <w:szCs w:val="24"/>
        </w:rPr>
        <w:t>2</w:t>
      </w:r>
      <w:r w:rsidR="00D738F1">
        <w:rPr>
          <w:rFonts w:ascii="Arial" w:hAnsi="Arial" w:cs="Arial"/>
          <w:szCs w:val="24"/>
        </w:rPr>
        <w:t>1</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561BEA2E" w:rsidR="005B1F81" w:rsidRPr="00F951CF" w:rsidRDefault="00F951CF" w:rsidP="00F951CF">
      <w:pPr>
        <w:pStyle w:val="BodyText"/>
        <w:spacing w:line="240" w:lineRule="auto"/>
        <w:ind w:firstLine="708"/>
        <w:rPr>
          <w:rFonts w:ascii="Arial"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8"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p>
    <w:p w14:paraId="15E739FD" w14:textId="77777777" w:rsidR="00551DA1" w:rsidRDefault="00551DA1" w:rsidP="00BD29C5">
      <w:pPr>
        <w:pStyle w:val="BodyText"/>
        <w:spacing w:line="240" w:lineRule="auto"/>
        <w:rPr>
          <w:rFonts w:ascii="Arial" w:hAnsi="Arial" w:cs="Arial"/>
          <w:sz w:val="24"/>
          <w:szCs w:val="24"/>
        </w:rPr>
      </w:pPr>
    </w:p>
    <w:p w14:paraId="6F93817B" w14:textId="5DB35C63"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3E709B">
        <w:rPr>
          <w:rFonts w:ascii="Arial" w:hAnsi="Arial" w:cs="Arial"/>
          <w:sz w:val="24"/>
          <w:szCs w:val="24"/>
        </w:rPr>
        <w:t>septembrie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D738F1">
        <w:rPr>
          <w:rFonts w:ascii="Arial" w:hAnsi="Arial" w:cs="Arial"/>
          <w:sz w:val="24"/>
          <w:szCs w:val="24"/>
        </w:rPr>
        <w:t>1</w:t>
      </w:r>
      <w:r w:rsidRPr="00AD3F9E">
        <w:rPr>
          <w:rFonts w:ascii="Arial" w:hAnsi="Arial" w:cs="Arial"/>
          <w:sz w:val="24"/>
          <w:szCs w:val="24"/>
        </w:rPr>
        <w:t xml:space="preserve">”, respectiv „Taxă examen primire în profesie ca avocat definitiv, sesiunea </w:t>
      </w:r>
      <w:r w:rsidR="003E709B">
        <w:rPr>
          <w:rFonts w:ascii="Arial" w:hAnsi="Arial" w:cs="Arial"/>
          <w:sz w:val="24"/>
          <w:szCs w:val="24"/>
        </w:rPr>
        <w:t>septembrie</w:t>
      </w:r>
      <w:r w:rsidRPr="00AD3F9E">
        <w:rPr>
          <w:rFonts w:ascii="Arial" w:hAnsi="Arial" w:cs="Arial"/>
          <w:sz w:val="24"/>
          <w:szCs w:val="24"/>
        </w:rPr>
        <w:t xml:space="preserve"> 20</w:t>
      </w:r>
      <w:r w:rsidR="00515B34">
        <w:rPr>
          <w:rFonts w:ascii="Arial" w:hAnsi="Arial" w:cs="Arial"/>
          <w:sz w:val="24"/>
          <w:szCs w:val="24"/>
        </w:rPr>
        <w:t>2</w:t>
      </w:r>
      <w:r w:rsidR="00D738F1">
        <w:rPr>
          <w:rFonts w:ascii="Arial" w:hAnsi="Arial" w:cs="Arial"/>
          <w:sz w:val="24"/>
          <w:szCs w:val="24"/>
        </w:rPr>
        <w:t>1</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7777777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9"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27B5B2D0" w14:textId="77777777" w:rsidR="005B1F81" w:rsidRPr="00AD3F9E" w:rsidRDefault="005B1F81" w:rsidP="004C3D63">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p>
    <w:p w14:paraId="3F289BDB" w14:textId="287CD5B8" w:rsidR="005B1F81" w:rsidRPr="00AD3F9E" w:rsidRDefault="005B1F81" w:rsidP="004F1A2F">
      <w:pPr>
        <w:rPr>
          <w:rFonts w:ascii="Arial" w:hAnsi="Arial" w:cs="Arial"/>
          <w:b/>
          <w:szCs w:val="24"/>
        </w:rPr>
      </w:pPr>
      <w:r w:rsidRPr="00AD3F9E">
        <w:rPr>
          <w:rFonts w:ascii="Arial" w:hAnsi="Arial" w:cs="Arial"/>
          <w:b/>
          <w:szCs w:val="24"/>
        </w:rPr>
        <w:tab/>
      </w:r>
    </w:p>
    <w:p w14:paraId="6488F095" w14:textId="77777777" w:rsidR="00D82837" w:rsidRDefault="00D82837" w:rsidP="00FB3342">
      <w:pPr>
        <w:jc w:val="center"/>
        <w:rPr>
          <w:rFonts w:ascii="Arial" w:hAnsi="Arial" w:cs="Arial"/>
          <w:b/>
          <w:szCs w:val="24"/>
        </w:rPr>
      </w:pPr>
    </w:p>
    <w:p w14:paraId="6E2DEE51" w14:textId="6C713C8C" w:rsidR="00FB3342" w:rsidRPr="00AD3F9E" w:rsidRDefault="00D82837" w:rsidP="00FB3342">
      <w:pPr>
        <w:jc w:val="center"/>
        <w:rPr>
          <w:rFonts w:ascii="Arial" w:hAnsi="Arial" w:cs="Arial"/>
          <w:b/>
          <w:szCs w:val="24"/>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p>
    <w:p w14:paraId="731C7E6D" w14:textId="77777777" w:rsidR="00FB3342" w:rsidRDefault="00FB3342" w:rsidP="00FB3342">
      <w:pPr>
        <w:jc w:val="center"/>
        <w:rPr>
          <w:rFonts w:ascii="Arial" w:hAnsi="Arial" w:cs="Arial"/>
          <w:b/>
          <w:szCs w:val="24"/>
        </w:rPr>
      </w:pPr>
    </w:p>
    <w:p w14:paraId="02FD8429" w14:textId="1FA40C7E" w:rsidR="00982530" w:rsidRPr="00AD3F9E" w:rsidRDefault="00AD3F9E" w:rsidP="00982530">
      <w:pPr>
        <w:spacing w:after="60"/>
        <w:jc w:val="center"/>
        <w:rPr>
          <w:rFonts w:ascii="Arial" w:eastAsia="SimSun" w:hAnsi="Arial" w:cs="Arial"/>
          <w:b/>
          <w:bCs/>
          <w:i/>
          <w:szCs w:val="24"/>
          <w:lang w:eastAsia="zh-CN"/>
        </w:rPr>
      </w:pPr>
      <w:r w:rsidRPr="00AD3F9E">
        <w:rPr>
          <w:rFonts w:ascii="Arial" w:eastAsia="SimSun" w:hAnsi="Arial" w:cs="Arial"/>
          <w:b/>
          <w:bCs/>
          <w:i/>
          <w:szCs w:val="24"/>
          <w:lang w:eastAsia="zh-CN"/>
        </w:rPr>
        <w:lastRenderedPageBreak/>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A51F01">
        <w:rPr>
          <w:rFonts w:ascii="Arial" w:eastAsia="SimSun" w:hAnsi="Arial" w:cs="Arial"/>
          <w:b/>
          <w:bCs/>
          <w:i/>
          <w:szCs w:val="24"/>
          <w:lang w:eastAsia="zh-CN"/>
        </w:rPr>
        <w:t>148</w:t>
      </w:r>
      <w:r w:rsidR="00A226A7">
        <w:rPr>
          <w:rFonts w:ascii="Arial" w:eastAsia="SimSun" w:hAnsi="Arial" w:cs="Arial"/>
          <w:b/>
          <w:bCs/>
          <w:i/>
          <w:szCs w:val="24"/>
          <w:lang w:eastAsia="zh-CN"/>
        </w:rPr>
        <w:t xml:space="preserve"> </w:t>
      </w:r>
      <w:r w:rsidRPr="00AD3F9E">
        <w:rPr>
          <w:rFonts w:ascii="Arial" w:eastAsia="SimSun" w:hAnsi="Arial" w:cs="Arial"/>
          <w:b/>
          <w:bCs/>
          <w:i/>
          <w:szCs w:val="24"/>
          <w:lang w:eastAsia="zh-CN"/>
        </w:rPr>
        <w:t xml:space="preserve">din </w:t>
      </w:r>
      <w:r w:rsidR="00515B34">
        <w:rPr>
          <w:rFonts w:ascii="Arial" w:eastAsia="SimSun" w:hAnsi="Arial" w:cs="Arial"/>
          <w:b/>
          <w:bCs/>
          <w:i/>
          <w:szCs w:val="24"/>
          <w:lang w:eastAsia="zh-CN"/>
        </w:rPr>
        <w:t>1</w:t>
      </w:r>
      <w:r w:rsidR="00244065">
        <w:rPr>
          <w:rFonts w:ascii="Arial" w:eastAsia="SimSun" w:hAnsi="Arial" w:cs="Arial"/>
          <w:b/>
          <w:bCs/>
          <w:i/>
          <w:szCs w:val="24"/>
          <w:lang w:eastAsia="zh-CN"/>
        </w:rPr>
        <w:t>4</w:t>
      </w:r>
      <w:r w:rsidR="00A51F01">
        <w:rPr>
          <w:rFonts w:ascii="Arial" w:eastAsia="SimSun" w:hAnsi="Arial" w:cs="Arial"/>
          <w:b/>
          <w:bCs/>
          <w:i/>
          <w:szCs w:val="24"/>
          <w:lang w:eastAsia="zh-CN"/>
        </w:rPr>
        <w:t>-15</w:t>
      </w:r>
      <w:r w:rsidRPr="00AD3F9E">
        <w:rPr>
          <w:rFonts w:ascii="Arial" w:eastAsia="SimSun" w:hAnsi="Arial" w:cs="Arial"/>
          <w:b/>
          <w:bCs/>
          <w:i/>
          <w:szCs w:val="24"/>
          <w:lang w:eastAsia="zh-CN"/>
        </w:rPr>
        <w:t>.0</w:t>
      </w:r>
      <w:r w:rsidR="00244065">
        <w:rPr>
          <w:rFonts w:ascii="Arial" w:eastAsia="SimSun" w:hAnsi="Arial" w:cs="Arial"/>
          <w:b/>
          <w:bCs/>
          <w:i/>
          <w:szCs w:val="24"/>
          <w:lang w:eastAsia="zh-CN"/>
        </w:rPr>
        <w:t>5</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244065">
        <w:rPr>
          <w:rFonts w:ascii="Arial" w:eastAsia="SimSun" w:hAnsi="Arial" w:cs="Arial"/>
          <w:b/>
          <w:bCs/>
          <w:i/>
          <w:szCs w:val="24"/>
          <w:lang w:eastAsia="zh-CN"/>
        </w:rPr>
        <w:t>1</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0"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7B4DF659"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Lucrările de specialitate sau orice altă documentație, consultate în vederea pregătirii pentru examen, se vor aduce la zi, în raport cu modificările legislative intrate în vigoare până la data de 01.06.20</w:t>
      </w:r>
      <w:r w:rsidR="00AA598D">
        <w:rPr>
          <w:rFonts w:ascii="Arial" w:hAnsi="Arial"/>
          <w:szCs w:val="24"/>
        </w:rPr>
        <w:t>2</w:t>
      </w:r>
      <w:r w:rsidR="00244065">
        <w:rPr>
          <w:rFonts w:ascii="Arial" w:hAnsi="Arial"/>
          <w:szCs w:val="24"/>
        </w:rPr>
        <w:t>1</w:t>
      </w:r>
      <w:r w:rsidRPr="00AD3F9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de executare; excepția de neexecutare a contractului; rezoluțiunea şi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lastRenderedPageBreak/>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9282D7" w14:textId="78F0AF49"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F495165" w14:textId="44818692"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lastRenderedPageBreak/>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1FF7135" w14:textId="38145D0A"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 w:val="24"/>
          <w:szCs w:val="24"/>
        </w:rPr>
        <w:t>202</w:t>
      </w:r>
      <w:r w:rsidR="00244065">
        <w:rPr>
          <w:rFonts w:ascii="Arial" w:hAnsi="Arial" w:cs="Arial"/>
          <w:sz w:val="24"/>
          <w:szCs w:val="24"/>
        </w:rPr>
        <w:t>1</w:t>
      </w:r>
      <w:r w:rsidRPr="00AD3F9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79D219E" w14:textId="004225D9"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lastRenderedPageBreak/>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Raporturile avocaților cu clienții. Hotărârea CEDO din 23 aprilie 2015 în Cauza Morice/c/Franța,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nr.462 din 17 septembrie 2014 a Curții Constituționale referitoare la obligativitatea formulării și susținerii cererii de recurs prin avocat, publicată în M.Of.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485 din 23 iunie 2015 a Curții Constituționale privind constituționalitatea art. 13, 64 și 486 C.proc.civ, publicată în M.Of.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 xml:space="preserve">Pentru pregătirea examenului la disciplina „Organizarea si exercitarea profesiei de avocat” pot fi consultate cursuri universitare, manuale, tratate, monografii şi orice altă </w:t>
      </w:r>
      <w:r w:rsidRPr="00AD3F9E">
        <w:rPr>
          <w:rFonts w:ascii="Arial" w:hAnsi="Arial"/>
          <w:szCs w:val="24"/>
        </w:rPr>
        <w:lastRenderedPageBreak/>
        <w:t>documentație în care se tratează tematica menționată, precum şi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1"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04B2A7D0" w:rsidR="00094D76" w:rsidRPr="00AD3F9E" w:rsidRDefault="00094D76" w:rsidP="00094D76">
      <w:pPr>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szCs w:val="24"/>
        </w:rPr>
        <w:t>202</w:t>
      </w:r>
      <w:r w:rsidR="00244065">
        <w:rPr>
          <w:rFonts w:ascii="Arial" w:hAnsi="Arial"/>
          <w:szCs w:val="24"/>
        </w:rPr>
        <w:t>1</w:t>
      </w:r>
      <w:r w:rsidRPr="00AD3F9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lastRenderedPageBreak/>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lastRenderedPageBreak/>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5047C45" w14:textId="54DC8FF5"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Forma cererilor. Citarea şi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executare (art. 712-720). Întoarcerea executării (art. 723-716). Poprirea (art.781-794). </w:t>
      </w:r>
      <w:r w:rsidRPr="00AD3F9E">
        <w:rPr>
          <w:rFonts w:ascii="Arial" w:hAnsi="Arial"/>
          <w:szCs w:val="24"/>
        </w:rPr>
        <w:lastRenderedPageBreak/>
        <w:t>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02F507DF" w14:textId="2C8B9776"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szCs w:val="24"/>
        </w:rPr>
        <w:t>202</w:t>
      </w:r>
      <w:r w:rsidR="00244065">
        <w:rPr>
          <w:rFonts w:ascii="Arial" w:hAnsi="Arial"/>
          <w:szCs w:val="24"/>
        </w:rPr>
        <w:t>1</w:t>
      </w:r>
      <w:r w:rsidRPr="00AD3F9E">
        <w:rPr>
          <w:rFonts w:ascii="Arial" w:hAnsi="Arial"/>
          <w:szCs w:val="24"/>
        </w:rPr>
        <w:t>.</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5E97D687" w14:textId="77777777"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 cap II:  art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023E5B51" w:rsidR="00056AE7" w:rsidRPr="00AD3F9E" w:rsidRDefault="00056AE7" w:rsidP="00056AE7">
      <w:pPr>
        <w:tabs>
          <w:tab w:val="left" w:pos="-3240"/>
        </w:tabs>
        <w:jc w:val="both"/>
        <w:rPr>
          <w:rFonts w:ascii="Arial" w:hAnsi="Arial" w:cs="Arial"/>
          <w:szCs w:val="24"/>
        </w:rPr>
      </w:pPr>
      <w:r w:rsidRPr="00AD3F9E">
        <w:rPr>
          <w:rFonts w:ascii="Arial" w:hAnsi="Arial" w:cs="Arial"/>
          <w:szCs w:val="24"/>
        </w:rPr>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lastRenderedPageBreak/>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35A0665" w14:textId="2D41F6E9"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Lucrările de specialitate sau orice altă documentație, consultate în vederea pregătirii pentru examen, se vor aduce la zi, în raport cu modificările legislative intrate în vigoare până la data de 01.06.</w:t>
      </w:r>
      <w:r w:rsidR="00AA598D">
        <w:rPr>
          <w:rFonts w:ascii="Arial" w:hAnsi="Arial" w:cs="Arial"/>
          <w:szCs w:val="24"/>
        </w:rPr>
        <w:t>202</w:t>
      </w:r>
      <w:r w:rsidR="00244065">
        <w:rPr>
          <w:rFonts w:ascii="Arial" w:hAnsi="Arial" w:cs="Arial"/>
          <w:szCs w:val="24"/>
        </w:rPr>
        <w:t>1</w:t>
      </w:r>
      <w:r w:rsidRPr="00AD3F9E">
        <w:rPr>
          <w:rFonts w:ascii="Arial" w:hAnsi="Arial" w:cs="Arial"/>
          <w:szCs w:val="24"/>
        </w:rPr>
        <w:t>.</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1E1FAD">
      <w:footerReference w:type="even" r:id="rId12"/>
      <w:footerReference w:type="default" r:id="rId13"/>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C322" w14:textId="77777777" w:rsidR="00A158BC" w:rsidRDefault="00A158BC">
      <w:r>
        <w:separator/>
      </w:r>
    </w:p>
  </w:endnote>
  <w:endnote w:type="continuationSeparator" w:id="0">
    <w:p w14:paraId="06B17E50" w14:textId="77777777" w:rsidR="00A158BC" w:rsidRDefault="00A1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92522" w14:textId="77777777" w:rsidR="005D7A38" w:rsidRDefault="005D7A38"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5D7A38" w:rsidRDefault="005D7A38" w:rsidP="005E3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7D03" w14:textId="77777777" w:rsidR="005D7A38" w:rsidRDefault="005D7A38"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A2F">
      <w:rPr>
        <w:rStyle w:val="PageNumber"/>
        <w:noProof/>
      </w:rPr>
      <w:t>2</w:t>
    </w:r>
    <w:r>
      <w:rPr>
        <w:rStyle w:val="PageNumber"/>
      </w:rPr>
      <w:fldChar w:fldCharType="end"/>
    </w:r>
  </w:p>
  <w:p w14:paraId="7C64D339" w14:textId="77777777" w:rsidR="005D7A38" w:rsidRDefault="005D7A38" w:rsidP="005E3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6A67" w14:textId="77777777" w:rsidR="00A158BC" w:rsidRDefault="00A158BC">
      <w:r>
        <w:separator/>
      </w:r>
    </w:p>
  </w:footnote>
  <w:footnote w:type="continuationSeparator" w:id="0">
    <w:p w14:paraId="4AA63684" w14:textId="77777777" w:rsidR="00A158BC" w:rsidRDefault="00A158BC">
      <w:r>
        <w:continuationSeparator/>
      </w:r>
    </w:p>
  </w:footnote>
  <w:footnote w:id="1">
    <w:p w14:paraId="0B7A9743" w14:textId="0E10E67D" w:rsidR="005F3013" w:rsidRPr="005F3013" w:rsidRDefault="005F3013" w:rsidP="005F3013">
      <w:pPr>
        <w:pStyle w:val="BodyText"/>
        <w:spacing w:line="240" w:lineRule="auto"/>
        <w:rPr>
          <w:rFonts w:ascii="Arial" w:hAnsi="Arial" w:cs="Arial"/>
          <w:sz w:val="18"/>
          <w:szCs w:val="18"/>
        </w:rPr>
      </w:pPr>
      <w:r>
        <w:rPr>
          <w:rStyle w:val="FootnoteReference"/>
        </w:rPr>
        <w:footnoteRef/>
      </w:r>
      <w:r>
        <w:t xml:space="preserve"> </w:t>
      </w:r>
      <w:r w:rsidRPr="005879D3">
        <w:rPr>
          <w:rFonts w:ascii="Arial" w:hAnsi="Arial" w:cs="Arial"/>
          <w:sz w:val="18"/>
          <w:szCs w:val="18"/>
        </w:rPr>
        <w:t xml:space="preserve">În cazul în care, în virtutea unor dispoziții normative impuse de protecția sănătății populației, organizarea în sistem fizic a examenului nu va fi posibilă, examenul nu se va mai desfășura, urmând a fi reprogramat pentru o dată ulterioară. </w:t>
      </w:r>
    </w:p>
  </w:footnote>
  <w:footnote w:id="2">
    <w:p w14:paraId="44B646C3" w14:textId="09A21991" w:rsidR="005F3013" w:rsidRDefault="005F3013">
      <w:pPr>
        <w:pStyle w:val="FootnoteText"/>
      </w:pPr>
      <w:r>
        <w:rPr>
          <w:rStyle w:val="FootnoteReference"/>
        </w:rPr>
        <w:footnoteRef/>
      </w:r>
      <w:r>
        <w:t xml:space="preserve"> </w:t>
      </w:r>
      <w:r>
        <w:rPr>
          <w:rFonts w:ascii="Arial" w:hAnsi="Arial" w:cs="Arial"/>
          <w:sz w:val="18"/>
          <w:szCs w:val="18"/>
        </w:rPr>
        <w:t>Întrebările din chestionarul de examen vor avea unul sau două răspunsuri corecte.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C0"/>
    <w:rsid w:val="00000EB8"/>
    <w:rsid w:val="00002147"/>
    <w:rsid w:val="000021A4"/>
    <w:rsid w:val="000035E6"/>
    <w:rsid w:val="00010E10"/>
    <w:rsid w:val="00013561"/>
    <w:rsid w:val="00017401"/>
    <w:rsid w:val="00031741"/>
    <w:rsid w:val="00056AE7"/>
    <w:rsid w:val="000579AA"/>
    <w:rsid w:val="00063236"/>
    <w:rsid w:val="000871F9"/>
    <w:rsid w:val="00093B86"/>
    <w:rsid w:val="00094D76"/>
    <w:rsid w:val="00095C5E"/>
    <w:rsid w:val="0009781B"/>
    <w:rsid w:val="000A06C1"/>
    <w:rsid w:val="000A3077"/>
    <w:rsid w:val="000B1BD7"/>
    <w:rsid w:val="000C23C1"/>
    <w:rsid w:val="000C5B5D"/>
    <w:rsid w:val="000C7C99"/>
    <w:rsid w:val="000D3996"/>
    <w:rsid w:val="000E00DE"/>
    <w:rsid w:val="000E7819"/>
    <w:rsid w:val="001021C3"/>
    <w:rsid w:val="00114CFF"/>
    <w:rsid w:val="00126B1D"/>
    <w:rsid w:val="0014272A"/>
    <w:rsid w:val="00145F07"/>
    <w:rsid w:val="00145F1F"/>
    <w:rsid w:val="00152F51"/>
    <w:rsid w:val="001718D1"/>
    <w:rsid w:val="00180EB7"/>
    <w:rsid w:val="00186C8F"/>
    <w:rsid w:val="00193A84"/>
    <w:rsid w:val="001A435C"/>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1293"/>
    <w:rsid w:val="00293F74"/>
    <w:rsid w:val="00294A8A"/>
    <w:rsid w:val="002A0D78"/>
    <w:rsid w:val="002A425C"/>
    <w:rsid w:val="002A7ECF"/>
    <w:rsid w:val="002B4CC9"/>
    <w:rsid w:val="002B7BD8"/>
    <w:rsid w:val="002C4960"/>
    <w:rsid w:val="002C54BC"/>
    <w:rsid w:val="002D53FF"/>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4B09"/>
    <w:rsid w:val="003355A1"/>
    <w:rsid w:val="00335FC9"/>
    <w:rsid w:val="00337758"/>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709B"/>
    <w:rsid w:val="003E78AC"/>
    <w:rsid w:val="003F7832"/>
    <w:rsid w:val="00400BD0"/>
    <w:rsid w:val="004011E9"/>
    <w:rsid w:val="00406DCD"/>
    <w:rsid w:val="0041286E"/>
    <w:rsid w:val="00417960"/>
    <w:rsid w:val="00417B61"/>
    <w:rsid w:val="00427F84"/>
    <w:rsid w:val="00435F15"/>
    <w:rsid w:val="004418B9"/>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951"/>
    <w:rsid w:val="00686FF6"/>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901993"/>
    <w:rsid w:val="00924F19"/>
    <w:rsid w:val="00925A23"/>
    <w:rsid w:val="00931533"/>
    <w:rsid w:val="0093304C"/>
    <w:rsid w:val="00933C8C"/>
    <w:rsid w:val="00936D79"/>
    <w:rsid w:val="00943F43"/>
    <w:rsid w:val="00944141"/>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36EF"/>
    <w:rsid w:val="00AC23F1"/>
    <w:rsid w:val="00AC4143"/>
    <w:rsid w:val="00AC6DA3"/>
    <w:rsid w:val="00AD3F9E"/>
    <w:rsid w:val="00AD4B13"/>
    <w:rsid w:val="00AE0FCB"/>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3CEB"/>
    <w:rsid w:val="00CE6AB0"/>
    <w:rsid w:val="00CE7804"/>
    <w:rsid w:val="00CF14DC"/>
    <w:rsid w:val="00CF5313"/>
    <w:rsid w:val="00D03271"/>
    <w:rsid w:val="00D066B5"/>
    <w:rsid w:val="00D068AC"/>
    <w:rsid w:val="00D07006"/>
    <w:rsid w:val="00D17B9C"/>
    <w:rsid w:val="00D2405E"/>
    <w:rsid w:val="00D25CC3"/>
    <w:rsid w:val="00D3116A"/>
    <w:rsid w:val="00D35B46"/>
    <w:rsid w:val="00D4002D"/>
    <w:rsid w:val="00D469F7"/>
    <w:rsid w:val="00D50241"/>
    <w:rsid w:val="00D5757E"/>
    <w:rsid w:val="00D738F1"/>
    <w:rsid w:val="00D75237"/>
    <w:rsid w:val="00D77C43"/>
    <w:rsid w:val="00D80BD3"/>
    <w:rsid w:val="00D82837"/>
    <w:rsid w:val="00D90031"/>
    <w:rsid w:val="00D90D7C"/>
    <w:rsid w:val="00DA0B23"/>
    <w:rsid w:val="00DA2042"/>
    <w:rsid w:val="00DA3F75"/>
    <w:rsid w:val="00DB0ABD"/>
    <w:rsid w:val="00DB2081"/>
    <w:rsid w:val="00DC5032"/>
    <w:rsid w:val="00DD3FF8"/>
    <w:rsid w:val="00DD71CE"/>
    <w:rsid w:val="00DE0700"/>
    <w:rsid w:val="00DE410E"/>
    <w:rsid w:val="00DE48E4"/>
    <w:rsid w:val="00DE6BFE"/>
    <w:rsid w:val="00DE7F95"/>
    <w:rsid w:val="00DF05EB"/>
    <w:rsid w:val="00DF5A16"/>
    <w:rsid w:val="00DF5AF7"/>
    <w:rsid w:val="00E106C5"/>
    <w:rsid w:val="00E217C2"/>
    <w:rsid w:val="00E26D70"/>
    <w:rsid w:val="00E47DA8"/>
    <w:rsid w:val="00E52D06"/>
    <w:rsid w:val="00E52E48"/>
    <w:rsid w:val="00E5571E"/>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p.ro/CandidateFolder.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br.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www.unbr.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9F0D0-8FB8-44C4-8402-C336C4F5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6000</Words>
  <Characters>38290</Characters>
  <DocSecurity>0</DocSecurity>
  <Lines>319</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44202</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2018-06-28T05:29:00Z</cp:lastPrinted>
  <dcterms:created xsi:type="dcterms:W3CDTF">2021-05-19T12:06:00Z</dcterms:created>
  <dcterms:modified xsi:type="dcterms:W3CDTF">2021-05-19T12:06:00Z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