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AF8C8" w14:textId="77777777" w:rsidR="001D2D97" w:rsidRPr="003C62C6" w:rsidRDefault="001D2D97" w:rsidP="008F3A9B">
      <w:pPr>
        <w:pStyle w:val="Title"/>
        <w:rPr>
          <w:rFonts w:ascii="Arial Black" w:hAnsi="Arial Black" w:cs="Tahoma"/>
          <w:sz w:val="32"/>
          <w:szCs w:val="32"/>
        </w:rPr>
      </w:pPr>
      <w:r w:rsidRPr="003C62C6">
        <w:rPr>
          <w:rFonts w:ascii="Arial Black" w:hAnsi="Arial Black" w:cs="Tahoma"/>
          <w:sz w:val="32"/>
          <w:szCs w:val="32"/>
        </w:rPr>
        <w:t xml:space="preserve">Institutul Naţional pentru </w:t>
      </w:r>
    </w:p>
    <w:p w14:paraId="6B26F8CE" w14:textId="77777777" w:rsidR="00C65E90" w:rsidRPr="003C62C6" w:rsidRDefault="001D2D97" w:rsidP="008F3A9B">
      <w:pPr>
        <w:pStyle w:val="Title"/>
        <w:rPr>
          <w:rFonts w:ascii="Arial Black" w:hAnsi="Arial Black" w:cs="Tahoma"/>
          <w:sz w:val="32"/>
          <w:szCs w:val="32"/>
        </w:rPr>
      </w:pPr>
      <w:r w:rsidRPr="003C62C6">
        <w:rPr>
          <w:rFonts w:ascii="Arial Black" w:hAnsi="Arial Black" w:cs="Tahoma"/>
          <w:sz w:val="32"/>
          <w:szCs w:val="32"/>
        </w:rPr>
        <w:t>Pregătirea şi Perfecţionarea Avocaţilor</w:t>
      </w:r>
    </w:p>
    <w:p w14:paraId="5123E31B" w14:textId="77777777" w:rsidR="00C65E90" w:rsidRPr="003C62C6" w:rsidRDefault="00C65E90" w:rsidP="008F3A9B">
      <w:pPr>
        <w:pStyle w:val="Subtitle"/>
        <w:rPr>
          <w:rFonts w:ascii="Verdana" w:hAnsi="Verdana" w:cs="Tahoma"/>
          <w:b/>
          <w:bCs/>
          <w:i/>
          <w:iCs/>
          <w:sz w:val="32"/>
          <w:szCs w:val="32"/>
        </w:rPr>
      </w:pPr>
      <w:r w:rsidRPr="003C62C6">
        <w:rPr>
          <w:rFonts w:ascii="Verdana" w:hAnsi="Verdana" w:cs="Tahoma"/>
          <w:b/>
          <w:bCs/>
          <w:i/>
          <w:iCs/>
          <w:sz w:val="32"/>
          <w:szCs w:val="32"/>
        </w:rPr>
        <w:t xml:space="preserve">CONSILIUL </w:t>
      </w:r>
      <w:r w:rsidR="001D2D97" w:rsidRPr="003C62C6">
        <w:rPr>
          <w:rFonts w:ascii="Verdana" w:hAnsi="Verdana" w:cs="Tahoma"/>
          <w:b/>
          <w:bCs/>
          <w:i/>
          <w:iCs/>
          <w:sz w:val="32"/>
          <w:szCs w:val="32"/>
        </w:rPr>
        <w:t>DE CONDUCERE</w:t>
      </w:r>
    </w:p>
    <w:p w14:paraId="68CC6EC7" w14:textId="77777777" w:rsidR="00C65E90" w:rsidRPr="003C62C6" w:rsidRDefault="00C65E90" w:rsidP="008F3A9B">
      <w:pPr>
        <w:jc w:val="center"/>
        <w:rPr>
          <w:rFonts w:ascii="Verdana" w:hAnsi="Verdana" w:cs="Tahoma"/>
          <w:b/>
          <w:bCs/>
          <w:u w:val="single"/>
        </w:rPr>
      </w:pPr>
    </w:p>
    <w:p w14:paraId="05C2BEAF" w14:textId="77777777" w:rsidR="00C65E90" w:rsidRPr="003C62C6" w:rsidRDefault="00C65E90" w:rsidP="008F3A9B">
      <w:pPr>
        <w:jc w:val="center"/>
        <w:rPr>
          <w:rFonts w:ascii="Verdana" w:hAnsi="Verdana"/>
          <w:b/>
        </w:rPr>
      </w:pPr>
    </w:p>
    <w:p w14:paraId="1B19F2C1" w14:textId="77777777" w:rsidR="00C65E90" w:rsidRPr="003C62C6" w:rsidRDefault="00C65E90" w:rsidP="008F3A9B">
      <w:pPr>
        <w:jc w:val="center"/>
        <w:rPr>
          <w:rFonts w:ascii="Verdana" w:hAnsi="Verdana"/>
          <w:b/>
        </w:rPr>
      </w:pPr>
    </w:p>
    <w:p w14:paraId="4D828BE9" w14:textId="77777777" w:rsidR="00C65E90" w:rsidRPr="003C62C6" w:rsidRDefault="00C65E90" w:rsidP="008F3A9B">
      <w:pPr>
        <w:jc w:val="center"/>
        <w:rPr>
          <w:rFonts w:ascii="Verdana" w:hAnsi="Verdana"/>
          <w:b/>
        </w:rPr>
      </w:pPr>
    </w:p>
    <w:p w14:paraId="243E5385" w14:textId="77777777" w:rsidR="00C65E90" w:rsidRPr="003C62C6" w:rsidRDefault="00C65E90" w:rsidP="008F3A9B">
      <w:pPr>
        <w:jc w:val="center"/>
        <w:rPr>
          <w:rFonts w:ascii="Verdana" w:hAnsi="Verdana"/>
          <w:b/>
        </w:rPr>
      </w:pPr>
    </w:p>
    <w:p w14:paraId="0616E20C" w14:textId="35BFEF07" w:rsidR="00C65E90" w:rsidRPr="003C62C6" w:rsidRDefault="00C65E90" w:rsidP="008F3A9B">
      <w:pPr>
        <w:jc w:val="center"/>
        <w:rPr>
          <w:rFonts w:ascii="Verdana" w:hAnsi="Verdana" w:cs="Arial"/>
          <w:b/>
          <w:bCs/>
          <w:spacing w:val="20"/>
          <w:w w:val="150"/>
          <w:sz w:val="32"/>
          <w:szCs w:val="32"/>
        </w:rPr>
      </w:pPr>
      <w:r w:rsidRPr="003C62C6">
        <w:rPr>
          <w:rFonts w:ascii="Verdana" w:hAnsi="Verdana" w:cs="Arial"/>
          <w:b/>
          <w:bCs/>
          <w:spacing w:val="20"/>
          <w:w w:val="150"/>
          <w:sz w:val="32"/>
          <w:szCs w:val="32"/>
        </w:rPr>
        <w:t xml:space="preserve">HOTĂRÂREA NR. </w:t>
      </w:r>
      <w:r w:rsidR="005D0475">
        <w:rPr>
          <w:rFonts w:ascii="Verdana" w:hAnsi="Verdana" w:cs="Arial"/>
          <w:b/>
          <w:bCs/>
          <w:spacing w:val="20"/>
          <w:w w:val="150"/>
          <w:sz w:val="32"/>
          <w:szCs w:val="32"/>
        </w:rPr>
        <w:t>6</w:t>
      </w:r>
      <w:r w:rsidR="006D627A">
        <w:rPr>
          <w:rFonts w:ascii="Verdana" w:hAnsi="Verdana" w:cs="Arial"/>
          <w:b/>
          <w:bCs/>
          <w:spacing w:val="20"/>
          <w:w w:val="150"/>
          <w:sz w:val="32"/>
          <w:szCs w:val="32"/>
        </w:rPr>
        <w:t>/</w:t>
      </w:r>
      <w:r w:rsidR="00602A03">
        <w:rPr>
          <w:rFonts w:ascii="Verdana" w:hAnsi="Verdana" w:cs="Arial"/>
          <w:b/>
          <w:bCs/>
          <w:spacing w:val="20"/>
          <w:w w:val="150"/>
          <w:sz w:val="32"/>
          <w:szCs w:val="32"/>
        </w:rPr>
        <w:t>2</w:t>
      </w:r>
      <w:r w:rsidR="00A26838">
        <w:rPr>
          <w:rFonts w:ascii="Verdana" w:hAnsi="Verdana" w:cs="Arial"/>
          <w:b/>
          <w:bCs/>
          <w:spacing w:val="20"/>
          <w:w w:val="150"/>
          <w:sz w:val="32"/>
          <w:szCs w:val="32"/>
        </w:rPr>
        <w:t>5-26</w:t>
      </w:r>
      <w:r w:rsidR="006D627A">
        <w:rPr>
          <w:rFonts w:ascii="Verdana" w:hAnsi="Verdana" w:cs="Arial"/>
          <w:b/>
          <w:bCs/>
          <w:spacing w:val="20"/>
          <w:w w:val="150"/>
          <w:sz w:val="32"/>
          <w:szCs w:val="32"/>
        </w:rPr>
        <w:t>.0</w:t>
      </w:r>
      <w:r w:rsidR="00A26838">
        <w:rPr>
          <w:rFonts w:ascii="Verdana" w:hAnsi="Verdana" w:cs="Arial"/>
          <w:b/>
          <w:bCs/>
          <w:spacing w:val="20"/>
          <w:w w:val="150"/>
          <w:sz w:val="32"/>
          <w:szCs w:val="32"/>
        </w:rPr>
        <w:t>8</w:t>
      </w:r>
      <w:r w:rsidR="006D627A">
        <w:rPr>
          <w:rFonts w:ascii="Verdana" w:hAnsi="Verdana" w:cs="Arial"/>
          <w:b/>
          <w:bCs/>
          <w:spacing w:val="20"/>
          <w:w w:val="150"/>
          <w:sz w:val="32"/>
          <w:szCs w:val="32"/>
        </w:rPr>
        <w:t>.202</w:t>
      </w:r>
      <w:r w:rsidR="00602A03">
        <w:rPr>
          <w:rFonts w:ascii="Verdana" w:hAnsi="Verdana" w:cs="Arial"/>
          <w:b/>
          <w:bCs/>
          <w:spacing w:val="20"/>
          <w:w w:val="150"/>
          <w:sz w:val="32"/>
          <w:szCs w:val="32"/>
        </w:rPr>
        <w:t>1</w:t>
      </w:r>
    </w:p>
    <w:p w14:paraId="36EA99D6" w14:textId="05CE0413" w:rsidR="00001A30" w:rsidRPr="003C62C6" w:rsidRDefault="00001A30" w:rsidP="008F3A9B">
      <w:pPr>
        <w:jc w:val="center"/>
        <w:rPr>
          <w:rFonts w:cs="Arial"/>
          <w:b/>
          <w:bCs/>
          <w:sz w:val="22"/>
          <w:szCs w:val="22"/>
        </w:rPr>
      </w:pPr>
      <w:r w:rsidRPr="003C62C6">
        <w:rPr>
          <w:rFonts w:cs="Arial"/>
          <w:b/>
          <w:bCs/>
          <w:sz w:val="22"/>
          <w:szCs w:val="22"/>
        </w:rPr>
        <w:t xml:space="preserve">privind </w:t>
      </w:r>
      <w:r w:rsidR="00BA757D">
        <w:rPr>
          <w:rFonts w:cs="Arial"/>
          <w:b/>
          <w:bCs/>
          <w:sz w:val="22"/>
          <w:szCs w:val="22"/>
        </w:rPr>
        <w:t xml:space="preserve">organizarea și desfășurarea testării prevăzute de art. </w:t>
      </w:r>
      <w:r w:rsidR="00290A6F">
        <w:rPr>
          <w:rFonts w:cs="Arial"/>
          <w:b/>
          <w:bCs/>
          <w:sz w:val="22"/>
          <w:szCs w:val="22"/>
        </w:rPr>
        <w:t>48</w:t>
      </w:r>
      <w:r w:rsidR="00BA757D">
        <w:rPr>
          <w:rFonts w:cs="Arial"/>
          <w:b/>
          <w:bCs/>
          <w:sz w:val="22"/>
          <w:szCs w:val="22"/>
        </w:rPr>
        <w:t xml:space="preserve"> alin. (7) al Regulamentului de organizare și funcționare a I.N.P.P.A. </w:t>
      </w:r>
    </w:p>
    <w:p w14:paraId="611C786A" w14:textId="77777777" w:rsidR="004A5A2B" w:rsidRPr="003C62C6" w:rsidRDefault="004A5A2B" w:rsidP="008F3A9B">
      <w:pPr>
        <w:jc w:val="center"/>
        <w:rPr>
          <w:rFonts w:ascii="Verdana" w:hAnsi="Verdana"/>
          <w:b/>
        </w:rPr>
      </w:pPr>
    </w:p>
    <w:p w14:paraId="04536CC9" w14:textId="77777777" w:rsidR="00C65E90" w:rsidRPr="003C62C6" w:rsidRDefault="00C65E90" w:rsidP="008F3A9B">
      <w:pPr>
        <w:rPr>
          <w:rFonts w:ascii="Verdana" w:hAnsi="Verdana"/>
          <w:b/>
        </w:rPr>
      </w:pPr>
    </w:p>
    <w:p w14:paraId="0F810069" w14:textId="75DAF5A9" w:rsidR="00001A30" w:rsidRPr="003C62C6" w:rsidRDefault="00001A30" w:rsidP="006E2CEE">
      <w:pPr>
        <w:ind w:firstLine="567"/>
        <w:jc w:val="both"/>
        <w:rPr>
          <w:rFonts w:ascii="Verdana" w:hAnsi="Verdana" w:cs="Arial"/>
        </w:rPr>
      </w:pPr>
      <w:r w:rsidRPr="003C62C6">
        <w:rPr>
          <w:rFonts w:ascii="Verdana" w:hAnsi="Verdana" w:cs="Arial"/>
        </w:rPr>
        <w:t xml:space="preserve">Având în vedere </w:t>
      </w:r>
      <w:r w:rsidR="00A26838">
        <w:rPr>
          <w:rFonts w:ascii="Verdana" w:hAnsi="Verdana" w:cs="Arial"/>
        </w:rPr>
        <w:t xml:space="preserve">completarea, prin Hotărârea nr. </w:t>
      </w:r>
      <w:r w:rsidR="005D0475">
        <w:rPr>
          <w:rFonts w:ascii="Verdana" w:hAnsi="Verdana" w:cs="Arial"/>
        </w:rPr>
        <w:t>5</w:t>
      </w:r>
      <w:r w:rsidR="00A26838">
        <w:rPr>
          <w:rFonts w:ascii="Verdana" w:hAnsi="Verdana" w:cs="Arial"/>
        </w:rPr>
        <w:t xml:space="preserve">/25-26.08.2021 </w:t>
      </w:r>
      <w:r w:rsidR="00A26838" w:rsidRPr="00A26838">
        <w:rPr>
          <w:rFonts w:ascii="Verdana" w:hAnsi="Verdana" w:cs="Arial"/>
        </w:rPr>
        <w:t>a Consiliului de conducere al I.N.P.P.A.</w:t>
      </w:r>
      <w:r w:rsidR="00A26838">
        <w:rPr>
          <w:rFonts w:ascii="Verdana" w:hAnsi="Verdana" w:cs="Arial"/>
        </w:rPr>
        <w:t xml:space="preserve">, a </w:t>
      </w:r>
      <w:r w:rsidR="00732B69">
        <w:rPr>
          <w:rFonts w:ascii="Verdana" w:hAnsi="Verdana" w:cs="Arial"/>
        </w:rPr>
        <w:t xml:space="preserve">prevederilor Art. 48 al </w:t>
      </w:r>
      <w:r w:rsidR="00A26838">
        <w:rPr>
          <w:rFonts w:ascii="Verdana" w:hAnsi="Verdana" w:cs="Arial"/>
        </w:rPr>
        <w:t xml:space="preserve">Regulamentului de organizare și funcționare a I.N.P.P.A. cu prevederile cuprinse la </w:t>
      </w:r>
      <w:r w:rsidR="00E72707">
        <w:rPr>
          <w:rFonts w:ascii="Verdana" w:hAnsi="Verdana" w:cs="Arial"/>
        </w:rPr>
        <w:t>alin. (7),</w:t>
      </w:r>
      <w:r w:rsidR="00BA757D">
        <w:rPr>
          <w:rFonts w:ascii="Verdana" w:hAnsi="Verdana" w:cs="Arial"/>
        </w:rPr>
        <w:t xml:space="preserve"> precum și prevederile acestuia, </w:t>
      </w:r>
    </w:p>
    <w:p w14:paraId="62F9881F" w14:textId="327C6683" w:rsidR="00001A30" w:rsidRPr="003C62C6" w:rsidRDefault="00001A30" w:rsidP="006E2CEE">
      <w:pPr>
        <w:ind w:firstLine="567"/>
        <w:jc w:val="both"/>
        <w:rPr>
          <w:rFonts w:ascii="Verdana" w:hAnsi="Verdana"/>
        </w:rPr>
      </w:pPr>
      <w:r w:rsidRPr="003C62C6">
        <w:rPr>
          <w:rFonts w:ascii="Verdana" w:hAnsi="Verdana" w:cs="Arial"/>
        </w:rPr>
        <w:t xml:space="preserve">Luând în considerare </w:t>
      </w:r>
      <w:r w:rsidR="006D147E">
        <w:rPr>
          <w:rFonts w:ascii="Verdana" w:hAnsi="Verdana" w:cs="Arial"/>
        </w:rPr>
        <w:t xml:space="preserve">celelalte dispoziții ale Regulamentului de organizare și funcționare a I.N.P.P.A., precum și </w:t>
      </w:r>
      <w:r w:rsidR="00CB5A80">
        <w:rPr>
          <w:rFonts w:ascii="Verdana" w:hAnsi="Verdana" w:cs="Arial"/>
        </w:rPr>
        <w:t>dispozițiile</w:t>
      </w:r>
      <w:r w:rsidRPr="003C62C6">
        <w:rPr>
          <w:rFonts w:ascii="Verdana" w:hAnsi="Verdana" w:cs="Arial"/>
        </w:rPr>
        <w:t xml:space="preserve"> Regulamentului examenului de absolvire a Institutului Naţional pentru Pregătirea şi Perfecţionarea Avocaţilor </w:t>
      </w:r>
    </w:p>
    <w:p w14:paraId="4EC81402" w14:textId="77777777" w:rsidR="00E6462A" w:rsidRPr="003C62C6" w:rsidRDefault="00E6462A" w:rsidP="008F3A9B">
      <w:pPr>
        <w:jc w:val="both"/>
        <w:rPr>
          <w:rFonts w:ascii="Verdana" w:hAnsi="Verdana"/>
        </w:rPr>
      </w:pPr>
    </w:p>
    <w:p w14:paraId="6CB4823E" w14:textId="77777777" w:rsidR="00C65E90" w:rsidRPr="003C62C6" w:rsidRDefault="00547A20" w:rsidP="008F3A9B">
      <w:pPr>
        <w:jc w:val="both"/>
        <w:rPr>
          <w:rFonts w:ascii="Verdana" w:hAnsi="Verdana"/>
        </w:rPr>
      </w:pPr>
      <w:r w:rsidRPr="003C62C6">
        <w:rPr>
          <w:rFonts w:ascii="Verdana" w:hAnsi="Verdana"/>
        </w:rPr>
        <w:tab/>
      </w:r>
      <w:r w:rsidR="00C65E90" w:rsidRPr="003C62C6">
        <w:rPr>
          <w:rFonts w:ascii="Verdana" w:hAnsi="Verdana"/>
        </w:rPr>
        <w:t xml:space="preserve">Consiliul </w:t>
      </w:r>
      <w:r w:rsidR="00F632CA" w:rsidRPr="003C62C6">
        <w:rPr>
          <w:rFonts w:ascii="Verdana" w:hAnsi="Verdana"/>
        </w:rPr>
        <w:t xml:space="preserve">de Conducere </w:t>
      </w:r>
      <w:r w:rsidRPr="003C62C6">
        <w:rPr>
          <w:rFonts w:ascii="Verdana" w:hAnsi="Verdana"/>
        </w:rPr>
        <w:t xml:space="preserve">al </w:t>
      </w:r>
      <w:r w:rsidR="00F632CA" w:rsidRPr="003C62C6">
        <w:rPr>
          <w:rFonts w:ascii="Verdana" w:hAnsi="Verdana"/>
        </w:rPr>
        <w:t xml:space="preserve">Institutului Naţional pentru Pregătirea şi Perfecţionarea Avocaţilor, </w:t>
      </w:r>
    </w:p>
    <w:p w14:paraId="63F5657B" w14:textId="77777777" w:rsidR="00F632CA" w:rsidRPr="003C62C6" w:rsidRDefault="00F632CA" w:rsidP="008F3A9B">
      <w:pPr>
        <w:jc w:val="both"/>
        <w:rPr>
          <w:rFonts w:ascii="Verdana" w:hAnsi="Verdana"/>
        </w:rPr>
      </w:pPr>
    </w:p>
    <w:p w14:paraId="5842FB52" w14:textId="77777777" w:rsidR="00C65E90" w:rsidRPr="003C62C6" w:rsidRDefault="00C65E90" w:rsidP="008F3A9B">
      <w:pPr>
        <w:jc w:val="both"/>
        <w:rPr>
          <w:rFonts w:ascii="Verdana" w:hAnsi="Verdana"/>
        </w:rPr>
      </w:pPr>
    </w:p>
    <w:p w14:paraId="1CB05840" w14:textId="77777777" w:rsidR="00C65E90" w:rsidRPr="003C62C6" w:rsidRDefault="00C65E90" w:rsidP="008F3A9B">
      <w:pPr>
        <w:jc w:val="center"/>
        <w:rPr>
          <w:rFonts w:ascii="Verdana" w:hAnsi="Verdana"/>
          <w:b/>
        </w:rPr>
      </w:pPr>
      <w:r w:rsidRPr="003C62C6">
        <w:rPr>
          <w:rFonts w:ascii="Verdana" w:hAnsi="Verdana"/>
          <w:b/>
        </w:rPr>
        <w:t>HOTĂRĂŞTE:</w:t>
      </w:r>
    </w:p>
    <w:p w14:paraId="34365276" w14:textId="77777777" w:rsidR="00C65E90" w:rsidRPr="003C62C6" w:rsidRDefault="00C65E90" w:rsidP="008F3A9B">
      <w:pPr>
        <w:jc w:val="both"/>
        <w:rPr>
          <w:rFonts w:ascii="Verdana" w:hAnsi="Verdana"/>
        </w:rPr>
      </w:pPr>
    </w:p>
    <w:p w14:paraId="23065016" w14:textId="77777777" w:rsidR="00805970" w:rsidRPr="003C62C6" w:rsidRDefault="00805970" w:rsidP="008F3A9B">
      <w:pPr>
        <w:ind w:firstLine="720"/>
        <w:jc w:val="both"/>
        <w:rPr>
          <w:rFonts w:ascii="Verdana" w:hAnsi="Verdana"/>
          <w:b/>
        </w:rPr>
      </w:pPr>
    </w:p>
    <w:p w14:paraId="27076FA6" w14:textId="3635C1D8" w:rsidR="00AB28BF" w:rsidRDefault="00A95340" w:rsidP="008F3A9B">
      <w:pPr>
        <w:ind w:firstLine="720"/>
        <w:jc w:val="both"/>
        <w:rPr>
          <w:rFonts w:ascii="Verdana" w:hAnsi="Verdana" w:cs="Arial"/>
        </w:rPr>
      </w:pPr>
      <w:r w:rsidRPr="003C62C6">
        <w:rPr>
          <w:rFonts w:ascii="Verdana" w:hAnsi="Verdana"/>
          <w:b/>
        </w:rPr>
        <w:t>Art. 1.</w:t>
      </w:r>
      <w:r w:rsidR="00805970" w:rsidRPr="003C62C6">
        <w:rPr>
          <w:rFonts w:ascii="Verdana" w:hAnsi="Verdana"/>
          <w:b/>
        </w:rPr>
        <w:t xml:space="preserve"> </w:t>
      </w:r>
      <w:r w:rsidR="007222C2" w:rsidRPr="00370BCD">
        <w:rPr>
          <w:rFonts w:ascii="Verdana" w:hAnsi="Verdana"/>
        </w:rPr>
        <w:t>–</w:t>
      </w:r>
      <w:r w:rsidR="00BF3B90" w:rsidRPr="00370BCD">
        <w:rPr>
          <w:rFonts w:ascii="Verdana" w:hAnsi="Verdana"/>
        </w:rPr>
        <w:t xml:space="preserve"> </w:t>
      </w:r>
      <w:r w:rsidR="00AB28BF">
        <w:rPr>
          <w:rFonts w:ascii="Verdana" w:hAnsi="Verdana"/>
        </w:rPr>
        <w:t xml:space="preserve">(1) </w:t>
      </w:r>
      <w:r w:rsidR="00370BCD" w:rsidRPr="00370BCD">
        <w:rPr>
          <w:rFonts w:ascii="Verdana" w:hAnsi="Verdana"/>
        </w:rPr>
        <w:t>În baza prev</w:t>
      </w:r>
      <w:r w:rsidR="00370BCD">
        <w:rPr>
          <w:rFonts w:ascii="Verdana" w:hAnsi="Verdana"/>
        </w:rPr>
        <w:t>e</w:t>
      </w:r>
      <w:r w:rsidR="00370BCD" w:rsidRPr="00370BCD">
        <w:rPr>
          <w:rFonts w:ascii="Verdana" w:hAnsi="Verdana"/>
        </w:rPr>
        <w:t xml:space="preserve">derilor Art. </w:t>
      </w:r>
      <w:r w:rsidR="00240FC9">
        <w:rPr>
          <w:rFonts w:ascii="Verdana" w:hAnsi="Verdana"/>
        </w:rPr>
        <w:t>48</w:t>
      </w:r>
      <w:r w:rsidR="00370BCD" w:rsidRPr="00370BCD">
        <w:rPr>
          <w:rFonts w:ascii="Verdana" w:hAnsi="Verdana"/>
        </w:rPr>
        <w:t xml:space="preserve"> alin. (7) al Regulamentului de organizare și funcționare  a I.N.P.P.A., </w:t>
      </w:r>
      <w:r w:rsidR="00370BCD">
        <w:rPr>
          <w:rFonts w:ascii="Verdana" w:hAnsi="Verdana"/>
        </w:rPr>
        <w:t>c</w:t>
      </w:r>
      <w:r w:rsidR="00370BCD">
        <w:rPr>
          <w:rFonts w:ascii="Verdana" w:hAnsi="Verdana" w:cs="Arial"/>
        </w:rPr>
        <w:t xml:space="preserve">ursanții </w:t>
      </w:r>
      <w:r w:rsidR="00370BCD" w:rsidRPr="00E72707">
        <w:rPr>
          <w:rFonts w:ascii="Verdana" w:hAnsi="Verdana" w:cs="Arial"/>
        </w:rPr>
        <w:t>anului II</w:t>
      </w:r>
      <w:r w:rsidR="00370BCD">
        <w:rPr>
          <w:rFonts w:ascii="Verdana" w:hAnsi="Verdana" w:cs="Arial"/>
        </w:rPr>
        <w:t xml:space="preserve"> din ciclul de formare 2021, care nu au obținut medie de promovare la una sau mai multe discipline prevăzute în actualul plan de formare pentru anul II de formare inițială, vor putea susține </w:t>
      </w:r>
      <w:r w:rsidR="006C1704">
        <w:rPr>
          <w:rFonts w:ascii="Verdana" w:hAnsi="Verdana" w:cs="Arial"/>
        </w:rPr>
        <w:t xml:space="preserve">o </w:t>
      </w:r>
      <w:r w:rsidR="00370BCD">
        <w:rPr>
          <w:rFonts w:ascii="Verdana" w:hAnsi="Verdana" w:cs="Arial"/>
        </w:rPr>
        <w:t>testare</w:t>
      </w:r>
      <w:r w:rsidR="006C1704">
        <w:rPr>
          <w:rFonts w:ascii="Verdana" w:hAnsi="Verdana" w:cs="Arial"/>
        </w:rPr>
        <w:t xml:space="preserve"> scrisă</w:t>
      </w:r>
      <w:r w:rsidR="00370BCD">
        <w:rPr>
          <w:rFonts w:ascii="Verdana" w:hAnsi="Verdana" w:cs="Arial"/>
        </w:rPr>
        <w:t xml:space="preserve"> în veder</w:t>
      </w:r>
      <w:r w:rsidR="006C1704">
        <w:rPr>
          <w:rFonts w:ascii="Verdana" w:hAnsi="Verdana" w:cs="Arial"/>
        </w:rPr>
        <w:t>ea</w:t>
      </w:r>
      <w:r w:rsidR="00370BCD">
        <w:rPr>
          <w:rFonts w:ascii="Verdana" w:hAnsi="Verdana" w:cs="Arial"/>
        </w:rPr>
        <w:t xml:space="preserve"> promovării disciplinei/disciplinelor nepromovate în intervalul </w:t>
      </w:r>
      <w:r w:rsidR="00370BCD" w:rsidRPr="00370BCD">
        <w:rPr>
          <w:rFonts w:ascii="Verdana" w:hAnsi="Verdana" w:cs="Arial"/>
          <w:b/>
        </w:rPr>
        <w:t>16-19 octombrie 2021</w:t>
      </w:r>
      <w:r w:rsidR="00370BCD">
        <w:rPr>
          <w:rFonts w:ascii="Verdana" w:hAnsi="Verdana" w:cs="Arial"/>
        </w:rPr>
        <w:t>.</w:t>
      </w:r>
      <w:r w:rsidR="006C1704">
        <w:rPr>
          <w:rFonts w:ascii="Verdana" w:hAnsi="Verdana" w:cs="Arial"/>
        </w:rPr>
        <w:t xml:space="preserve"> </w:t>
      </w:r>
    </w:p>
    <w:p w14:paraId="2605C9C1" w14:textId="2D0B4494" w:rsidR="00AB28BF" w:rsidRDefault="00AB28BF" w:rsidP="00AB28BF">
      <w:pPr>
        <w:ind w:firstLine="720"/>
        <w:jc w:val="both"/>
        <w:rPr>
          <w:rFonts w:ascii="Verdana" w:hAnsi="Verdana" w:cs="Arial"/>
        </w:rPr>
      </w:pPr>
      <w:r>
        <w:rPr>
          <w:rFonts w:ascii="Verdana" w:hAnsi="Verdana" w:cs="Arial"/>
        </w:rPr>
        <w:t xml:space="preserve">(2) </w:t>
      </w:r>
      <w:r w:rsidR="006C1704">
        <w:rPr>
          <w:rFonts w:ascii="Verdana" w:hAnsi="Verdana" w:cs="Arial"/>
        </w:rPr>
        <w:t xml:space="preserve">La </w:t>
      </w:r>
      <w:r>
        <w:rPr>
          <w:rFonts w:ascii="Verdana" w:hAnsi="Verdana" w:cs="Arial"/>
        </w:rPr>
        <w:t xml:space="preserve">testarea prevăzută la alin. (1) </w:t>
      </w:r>
      <w:r w:rsidR="006C1704">
        <w:rPr>
          <w:rFonts w:ascii="Verdana" w:hAnsi="Verdana" w:cs="Arial"/>
        </w:rPr>
        <w:t xml:space="preserve">nu au </w:t>
      </w:r>
      <w:r w:rsidR="00BA757D">
        <w:rPr>
          <w:rFonts w:ascii="Verdana" w:hAnsi="Verdana" w:cs="Arial"/>
        </w:rPr>
        <w:t xml:space="preserve">dreptul de a se înscrie </w:t>
      </w:r>
      <w:r w:rsidR="006C1704">
        <w:rPr>
          <w:rFonts w:ascii="Verdana" w:hAnsi="Verdana" w:cs="Arial"/>
        </w:rPr>
        <w:t>cursanții care nu au promovat disciplina/disciplinele din cauza neîntrunirii cerinței frecvenței minime</w:t>
      </w:r>
      <w:r>
        <w:rPr>
          <w:rFonts w:ascii="Verdana" w:hAnsi="Verdana" w:cs="Arial"/>
        </w:rPr>
        <w:t xml:space="preserve"> și care vor reface integral activitatea la disciplina/disciplinele nepromovată/nepromovate</w:t>
      </w:r>
      <w:r w:rsidR="000B1081" w:rsidRPr="000B1081">
        <w:rPr>
          <w:rFonts w:ascii="Verdana" w:hAnsi="Verdana" w:cs="Arial"/>
        </w:rPr>
        <w:t xml:space="preserve"> </w:t>
      </w:r>
      <w:r w:rsidR="000B1081">
        <w:rPr>
          <w:rFonts w:ascii="Verdana" w:hAnsi="Verdana" w:cs="Arial"/>
        </w:rPr>
        <w:t>împreună cu cursanții din următorul ciclu de anul II de formare inițială</w:t>
      </w:r>
      <w:r w:rsidR="006C1704">
        <w:rPr>
          <w:rFonts w:ascii="Verdana" w:hAnsi="Verdana" w:cs="Arial"/>
        </w:rPr>
        <w:t>.</w:t>
      </w:r>
    </w:p>
    <w:p w14:paraId="2B45A3D1" w14:textId="77777777" w:rsidR="00B95803" w:rsidRPr="003C62C6" w:rsidRDefault="00B95803" w:rsidP="00B95803">
      <w:pPr>
        <w:jc w:val="both"/>
        <w:rPr>
          <w:rFonts w:ascii="Verdana" w:hAnsi="Verdana"/>
        </w:rPr>
      </w:pPr>
    </w:p>
    <w:p w14:paraId="408A974B" w14:textId="42EF6941" w:rsidR="006C1704" w:rsidRDefault="00370BCD" w:rsidP="00370BCD">
      <w:pPr>
        <w:ind w:firstLine="720"/>
        <w:jc w:val="both"/>
        <w:rPr>
          <w:rFonts w:ascii="Verdana" w:hAnsi="Verdana"/>
        </w:rPr>
      </w:pPr>
      <w:r w:rsidRPr="003C62C6">
        <w:rPr>
          <w:rFonts w:ascii="Verdana" w:hAnsi="Verdana"/>
          <w:b/>
        </w:rPr>
        <w:t xml:space="preserve">Art. </w:t>
      </w:r>
      <w:r>
        <w:rPr>
          <w:rFonts w:ascii="Verdana" w:hAnsi="Verdana"/>
          <w:b/>
        </w:rPr>
        <w:t>2</w:t>
      </w:r>
      <w:r w:rsidRPr="003C62C6">
        <w:rPr>
          <w:rFonts w:ascii="Verdana" w:hAnsi="Verdana"/>
          <w:b/>
        </w:rPr>
        <w:t xml:space="preserve">. </w:t>
      </w:r>
      <w:r w:rsidRPr="00370BCD">
        <w:rPr>
          <w:rFonts w:ascii="Verdana" w:hAnsi="Verdana"/>
        </w:rPr>
        <w:t xml:space="preserve">– </w:t>
      </w:r>
      <w:r>
        <w:rPr>
          <w:rFonts w:ascii="Verdana" w:hAnsi="Verdana"/>
        </w:rPr>
        <w:t xml:space="preserve">Planificarea </w:t>
      </w:r>
      <w:r w:rsidR="006C1704">
        <w:rPr>
          <w:rFonts w:ascii="Verdana" w:hAnsi="Verdana"/>
        </w:rPr>
        <w:t>testării</w:t>
      </w:r>
      <w:r>
        <w:rPr>
          <w:rFonts w:ascii="Verdana" w:hAnsi="Verdana"/>
        </w:rPr>
        <w:t xml:space="preserve"> la disciplinele la care </w:t>
      </w:r>
      <w:r w:rsidR="006C1704">
        <w:rPr>
          <w:rFonts w:ascii="Verdana" w:hAnsi="Verdana"/>
        </w:rPr>
        <w:t xml:space="preserve">există cursanți nepromovați se face, în limitele calendarului prevăzut la Art. 1, de secretariatul structurilor I.N.P.P.A., în considerarea numărului de cursanți nepromovați și a disponibilității formatorilor de la aceste discipline. </w:t>
      </w:r>
    </w:p>
    <w:p w14:paraId="47C1E3DC" w14:textId="668CCF09" w:rsidR="00370BCD" w:rsidRDefault="00370BCD" w:rsidP="00370BCD">
      <w:pPr>
        <w:ind w:firstLine="720"/>
        <w:jc w:val="both"/>
        <w:rPr>
          <w:rFonts w:ascii="Verdana" w:hAnsi="Verdana"/>
        </w:rPr>
      </w:pPr>
    </w:p>
    <w:p w14:paraId="49A8C944" w14:textId="68A7CCFE" w:rsidR="006C1704" w:rsidRDefault="00001A30" w:rsidP="008F3A9B">
      <w:pPr>
        <w:ind w:firstLine="720"/>
        <w:jc w:val="both"/>
        <w:rPr>
          <w:rFonts w:ascii="Verdana" w:hAnsi="Verdana" w:cs="Arial"/>
        </w:rPr>
      </w:pPr>
      <w:r w:rsidRPr="003C62C6">
        <w:rPr>
          <w:rFonts w:ascii="Verdana" w:hAnsi="Verdana" w:cs="Arial"/>
          <w:b/>
        </w:rPr>
        <w:t xml:space="preserve">Art. </w:t>
      </w:r>
      <w:r w:rsidR="00370BCD">
        <w:rPr>
          <w:rFonts w:ascii="Verdana" w:hAnsi="Verdana" w:cs="Arial"/>
          <w:b/>
        </w:rPr>
        <w:t>3</w:t>
      </w:r>
      <w:r w:rsidRPr="003C62C6">
        <w:rPr>
          <w:rFonts w:ascii="Verdana" w:hAnsi="Verdana" w:cs="Arial"/>
          <w:b/>
        </w:rPr>
        <w:t>.</w:t>
      </w:r>
      <w:r w:rsidRPr="003C62C6">
        <w:rPr>
          <w:rFonts w:ascii="Verdana" w:hAnsi="Verdana" w:cs="Arial"/>
        </w:rPr>
        <w:t xml:space="preserve"> -  </w:t>
      </w:r>
      <w:r w:rsidR="00E72707">
        <w:rPr>
          <w:rFonts w:ascii="Verdana" w:hAnsi="Verdana" w:cs="Arial"/>
        </w:rPr>
        <w:t xml:space="preserve">Testarea va fi </w:t>
      </w:r>
      <w:r w:rsidR="00BF19B7">
        <w:rPr>
          <w:rFonts w:ascii="Verdana" w:hAnsi="Verdana" w:cs="Arial"/>
        </w:rPr>
        <w:t xml:space="preserve">tip grilă și va fi </w:t>
      </w:r>
      <w:r w:rsidR="00E72707">
        <w:rPr>
          <w:rFonts w:ascii="Verdana" w:hAnsi="Verdana" w:cs="Arial"/>
        </w:rPr>
        <w:t xml:space="preserve">organizată și desfășurată în sistem fizic (față în față), </w:t>
      </w:r>
      <w:r w:rsidR="00370BCD">
        <w:rPr>
          <w:rFonts w:ascii="Verdana" w:hAnsi="Verdana" w:cs="Arial"/>
        </w:rPr>
        <w:t>la sediul structurii I.N.P.P.A. la care sunt înscriși cursanții</w:t>
      </w:r>
      <w:r w:rsidR="00BF19B7">
        <w:rPr>
          <w:rFonts w:ascii="Verdana" w:hAnsi="Verdana" w:cs="Arial"/>
        </w:rPr>
        <w:t>. Tematica de testare este cea cuprinsă în programa analitică a disciplinei/disciplinelor nepromovate, publicate pe pagina web a I.N.P.P.A.</w:t>
      </w:r>
      <w:r w:rsidR="00370BCD">
        <w:rPr>
          <w:rFonts w:ascii="Verdana" w:hAnsi="Verdana" w:cs="Arial"/>
        </w:rPr>
        <w:t xml:space="preserve"> </w:t>
      </w:r>
      <w:r w:rsidR="006C1704">
        <w:rPr>
          <w:rFonts w:ascii="Verdana" w:hAnsi="Verdana" w:cs="Arial"/>
        </w:rPr>
        <w:lastRenderedPageBreak/>
        <w:t>Rezultatele obținute de cursanții participanți la testarea scrisă se comunică acestora în termen de 5 zile de la data finalizării perioadei de testare.</w:t>
      </w:r>
    </w:p>
    <w:p w14:paraId="48262AD0" w14:textId="77777777" w:rsidR="006C1704" w:rsidRDefault="006C1704" w:rsidP="008F3A9B">
      <w:pPr>
        <w:ind w:firstLine="720"/>
        <w:jc w:val="both"/>
        <w:rPr>
          <w:rFonts w:ascii="Verdana" w:hAnsi="Verdana" w:cs="Arial"/>
        </w:rPr>
      </w:pPr>
    </w:p>
    <w:p w14:paraId="0F0AD7EB" w14:textId="0C3FCABE" w:rsidR="00BF19B7" w:rsidRDefault="006C1704" w:rsidP="008F3A9B">
      <w:pPr>
        <w:ind w:firstLine="720"/>
        <w:jc w:val="both"/>
        <w:rPr>
          <w:rFonts w:ascii="Verdana" w:hAnsi="Verdana" w:cs="Arial"/>
        </w:rPr>
      </w:pPr>
      <w:r w:rsidRPr="003C62C6">
        <w:rPr>
          <w:rFonts w:ascii="Verdana" w:hAnsi="Verdana" w:cs="Arial"/>
          <w:b/>
        </w:rPr>
        <w:t xml:space="preserve">Art. </w:t>
      </w:r>
      <w:r>
        <w:rPr>
          <w:rFonts w:ascii="Verdana" w:hAnsi="Verdana" w:cs="Arial"/>
          <w:b/>
        </w:rPr>
        <w:t>4</w:t>
      </w:r>
      <w:r w:rsidRPr="003C62C6">
        <w:rPr>
          <w:rFonts w:ascii="Verdana" w:hAnsi="Verdana" w:cs="Arial"/>
          <w:b/>
        </w:rPr>
        <w:t>.</w:t>
      </w:r>
      <w:r w:rsidRPr="003C62C6">
        <w:rPr>
          <w:rFonts w:ascii="Verdana" w:hAnsi="Verdana" w:cs="Arial"/>
        </w:rPr>
        <w:t xml:space="preserve"> </w:t>
      </w:r>
      <w:r>
        <w:rPr>
          <w:rFonts w:ascii="Verdana" w:hAnsi="Verdana" w:cs="Arial"/>
        </w:rPr>
        <w:t>–</w:t>
      </w:r>
      <w:r w:rsidRPr="003C62C6">
        <w:rPr>
          <w:rFonts w:ascii="Verdana" w:hAnsi="Verdana" w:cs="Arial"/>
        </w:rPr>
        <w:t xml:space="preserve"> </w:t>
      </w:r>
      <w:r w:rsidR="00FB2F0C">
        <w:rPr>
          <w:rFonts w:ascii="Verdana" w:hAnsi="Verdana" w:cs="Arial"/>
        </w:rPr>
        <w:t xml:space="preserve">Înscrierea la testarea scrisă se face în baza cererii scrise depuse de cursanți, până cel târziu la data de </w:t>
      </w:r>
      <w:r w:rsidR="00FB2F0C" w:rsidRPr="00BF19B7">
        <w:rPr>
          <w:rFonts w:ascii="Verdana" w:hAnsi="Verdana" w:cs="Arial"/>
          <w:b/>
        </w:rPr>
        <w:t>1</w:t>
      </w:r>
      <w:r w:rsidR="00FB2F0C">
        <w:rPr>
          <w:rFonts w:ascii="Verdana" w:hAnsi="Verdana" w:cs="Arial"/>
          <w:b/>
        </w:rPr>
        <w:t>2</w:t>
      </w:r>
      <w:r w:rsidR="00FB2F0C" w:rsidRPr="00BF19B7">
        <w:rPr>
          <w:rFonts w:ascii="Verdana" w:hAnsi="Verdana" w:cs="Arial"/>
          <w:b/>
        </w:rPr>
        <w:t xml:space="preserve"> </w:t>
      </w:r>
      <w:r w:rsidR="00FB2F0C">
        <w:rPr>
          <w:rFonts w:ascii="Verdana" w:hAnsi="Verdana" w:cs="Arial"/>
          <w:b/>
        </w:rPr>
        <w:t>octombrie</w:t>
      </w:r>
      <w:r w:rsidR="00FB2F0C" w:rsidRPr="00BF19B7">
        <w:rPr>
          <w:rFonts w:ascii="Verdana" w:hAnsi="Verdana" w:cs="Arial"/>
          <w:b/>
        </w:rPr>
        <w:t xml:space="preserve"> 2021</w:t>
      </w:r>
      <w:r w:rsidR="00FB2F0C" w:rsidRPr="00BA757D">
        <w:rPr>
          <w:rFonts w:ascii="Verdana" w:hAnsi="Verdana" w:cs="Arial"/>
        </w:rPr>
        <w:t>,</w:t>
      </w:r>
      <w:r w:rsidR="00FB2F0C">
        <w:rPr>
          <w:rFonts w:ascii="Verdana" w:hAnsi="Verdana" w:cs="Arial"/>
        </w:rPr>
        <w:t xml:space="preserve"> la secretariatul structurii I.N.P.P.A la care aceștia sunt înscriși și a plății unei </w:t>
      </w:r>
      <w:r w:rsidR="00FB2F0C" w:rsidRPr="00BF19B7">
        <w:rPr>
          <w:rFonts w:ascii="Verdana" w:hAnsi="Verdana" w:cs="Arial"/>
          <w:b/>
        </w:rPr>
        <w:t>taxe în sumă de 300 lei pentru fiecare disciplină</w:t>
      </w:r>
      <w:r w:rsidR="00FB2F0C" w:rsidRPr="00BA757D">
        <w:rPr>
          <w:rFonts w:ascii="Verdana" w:hAnsi="Verdana" w:cs="Arial"/>
          <w:b/>
        </w:rPr>
        <w:t xml:space="preserve"> nepromovată</w:t>
      </w:r>
      <w:r w:rsidR="00FB2F0C">
        <w:rPr>
          <w:rFonts w:ascii="Verdana" w:hAnsi="Verdana" w:cs="Arial"/>
        </w:rPr>
        <w:t>. Taxa se plătește în contul structurii I.N.P.P.A.</w:t>
      </w:r>
      <w:r w:rsidR="00DC2186">
        <w:rPr>
          <w:rFonts w:ascii="Verdana" w:hAnsi="Verdana" w:cs="Arial"/>
        </w:rPr>
        <w:t xml:space="preserve"> </w:t>
      </w:r>
      <w:r w:rsidR="00FB2F0C">
        <w:rPr>
          <w:rFonts w:ascii="Verdana" w:hAnsi="Verdana" w:cs="Arial"/>
        </w:rPr>
        <w:t>de care aparțin cursanții.</w:t>
      </w:r>
      <w:r w:rsidR="00BF19B7">
        <w:rPr>
          <w:rFonts w:ascii="Verdana" w:hAnsi="Verdana" w:cs="Arial"/>
        </w:rPr>
        <w:t xml:space="preserve"> </w:t>
      </w:r>
    </w:p>
    <w:p w14:paraId="509DB25E" w14:textId="77777777" w:rsidR="00BF19B7" w:rsidRDefault="00BF19B7" w:rsidP="008F3A9B">
      <w:pPr>
        <w:ind w:firstLine="720"/>
        <w:jc w:val="both"/>
        <w:rPr>
          <w:rFonts w:ascii="Verdana" w:hAnsi="Verdana" w:cs="Arial"/>
        </w:rPr>
      </w:pPr>
    </w:p>
    <w:p w14:paraId="29AA4A0A" w14:textId="7FFAD205" w:rsidR="00001A30" w:rsidRDefault="00BF19B7" w:rsidP="008F3A9B">
      <w:pPr>
        <w:ind w:firstLine="720"/>
        <w:jc w:val="both"/>
        <w:rPr>
          <w:rFonts w:ascii="Verdana" w:hAnsi="Verdana" w:cs="Arial"/>
        </w:rPr>
      </w:pPr>
      <w:r w:rsidRPr="003C62C6">
        <w:rPr>
          <w:rFonts w:ascii="Verdana" w:hAnsi="Verdana" w:cs="Arial"/>
          <w:b/>
        </w:rPr>
        <w:t xml:space="preserve">Art. </w:t>
      </w:r>
      <w:r>
        <w:rPr>
          <w:rFonts w:ascii="Verdana" w:hAnsi="Verdana" w:cs="Arial"/>
          <w:b/>
        </w:rPr>
        <w:t>5</w:t>
      </w:r>
      <w:r w:rsidRPr="003C62C6">
        <w:rPr>
          <w:rFonts w:ascii="Verdana" w:hAnsi="Verdana" w:cs="Arial"/>
          <w:b/>
        </w:rPr>
        <w:t>.</w:t>
      </w:r>
      <w:r w:rsidRPr="003C62C6">
        <w:rPr>
          <w:rFonts w:ascii="Verdana" w:hAnsi="Verdana" w:cs="Arial"/>
        </w:rPr>
        <w:t xml:space="preserve"> </w:t>
      </w:r>
      <w:r>
        <w:rPr>
          <w:rFonts w:ascii="Verdana" w:hAnsi="Verdana" w:cs="Arial"/>
        </w:rPr>
        <w:t>–</w:t>
      </w:r>
      <w:r w:rsidRPr="003C62C6">
        <w:rPr>
          <w:rFonts w:ascii="Verdana" w:hAnsi="Verdana" w:cs="Arial"/>
        </w:rPr>
        <w:t xml:space="preserve"> </w:t>
      </w:r>
      <w:r w:rsidR="006C1704">
        <w:rPr>
          <w:rFonts w:ascii="Verdana" w:hAnsi="Verdana" w:cs="Arial"/>
        </w:rPr>
        <w:t xml:space="preserve"> </w:t>
      </w:r>
      <w:r w:rsidR="00FB2F0C">
        <w:rPr>
          <w:rFonts w:ascii="Verdana" w:hAnsi="Verdana" w:cs="Arial"/>
        </w:rPr>
        <w:t xml:space="preserve">Neînscrierea </w:t>
      </w:r>
      <w:r w:rsidR="000B1081">
        <w:rPr>
          <w:rFonts w:ascii="Verdana" w:hAnsi="Verdana" w:cs="Arial"/>
        </w:rPr>
        <w:t>sau</w:t>
      </w:r>
      <w:r w:rsidR="00FB2F0C">
        <w:rPr>
          <w:rFonts w:ascii="Verdana" w:hAnsi="Verdana" w:cs="Arial"/>
        </w:rPr>
        <w:t xml:space="preserve"> n</w:t>
      </w:r>
      <w:r w:rsidR="00FB2F0C" w:rsidRPr="00E72707">
        <w:rPr>
          <w:rFonts w:ascii="Verdana" w:hAnsi="Verdana" w:cs="Arial"/>
        </w:rPr>
        <w:t xml:space="preserve">eprezentarea </w:t>
      </w:r>
      <w:r w:rsidR="00FB2F0C">
        <w:rPr>
          <w:rFonts w:ascii="Verdana" w:hAnsi="Verdana" w:cs="Arial"/>
        </w:rPr>
        <w:t>c</w:t>
      </w:r>
      <w:r w:rsidR="00FB2F0C" w:rsidRPr="00E72707">
        <w:rPr>
          <w:rFonts w:ascii="Verdana" w:hAnsi="Verdana" w:cs="Arial"/>
        </w:rPr>
        <w:t>ursantului la testare</w:t>
      </w:r>
      <w:r w:rsidR="00FB2F0C">
        <w:rPr>
          <w:rFonts w:ascii="Verdana" w:hAnsi="Verdana" w:cs="Arial"/>
        </w:rPr>
        <w:t>a scrisă</w:t>
      </w:r>
      <w:r w:rsidR="00FB2F0C" w:rsidRPr="00E72707">
        <w:rPr>
          <w:rFonts w:ascii="Verdana" w:hAnsi="Verdana" w:cs="Arial"/>
        </w:rPr>
        <w:t xml:space="preserve"> </w:t>
      </w:r>
      <w:r w:rsidR="000B1081">
        <w:rPr>
          <w:rFonts w:ascii="Verdana" w:hAnsi="Verdana" w:cs="Arial"/>
        </w:rPr>
        <w:t>ori</w:t>
      </w:r>
      <w:r w:rsidR="00FB2F0C" w:rsidRPr="00E72707">
        <w:rPr>
          <w:rFonts w:ascii="Verdana" w:hAnsi="Verdana" w:cs="Arial"/>
        </w:rPr>
        <w:t xml:space="preserve"> nepromovarea </w:t>
      </w:r>
      <w:r w:rsidR="00FB2F0C">
        <w:rPr>
          <w:rFonts w:ascii="Verdana" w:hAnsi="Verdana" w:cs="Arial"/>
        </w:rPr>
        <w:t>acesteia</w:t>
      </w:r>
      <w:r w:rsidR="00FB2F0C" w:rsidRPr="00E72707">
        <w:rPr>
          <w:rFonts w:ascii="Verdana" w:hAnsi="Verdana" w:cs="Arial"/>
        </w:rPr>
        <w:t xml:space="preserve"> atrage  neînscrierea </w:t>
      </w:r>
      <w:r w:rsidR="00FB2F0C">
        <w:rPr>
          <w:rFonts w:ascii="Verdana" w:hAnsi="Verdana" w:cs="Arial"/>
        </w:rPr>
        <w:t>cursantului</w:t>
      </w:r>
      <w:r w:rsidR="00FB2F0C" w:rsidRPr="00E72707">
        <w:rPr>
          <w:rFonts w:ascii="Verdana" w:hAnsi="Verdana" w:cs="Arial"/>
        </w:rPr>
        <w:t xml:space="preserve"> la susținerea examenului de absolvire a I</w:t>
      </w:r>
      <w:r w:rsidR="00FB2F0C">
        <w:rPr>
          <w:rFonts w:ascii="Verdana" w:hAnsi="Verdana" w:cs="Arial"/>
        </w:rPr>
        <w:t>.N.P.P.A. în sesiunea noiembrie 2021 și obligativitatea refacerii integrale a activității la disciplina/disciplinele nepromovată/nepromovate</w:t>
      </w:r>
      <w:r w:rsidR="000B1081" w:rsidRPr="000B1081">
        <w:rPr>
          <w:rFonts w:ascii="Verdana" w:hAnsi="Verdana" w:cs="Arial"/>
        </w:rPr>
        <w:t xml:space="preserve"> </w:t>
      </w:r>
      <w:r w:rsidR="000B1081">
        <w:rPr>
          <w:rFonts w:ascii="Verdana" w:hAnsi="Verdana" w:cs="Arial"/>
        </w:rPr>
        <w:t>împreună cu cursanții din următorul ciclu de anul II de formare inițială</w:t>
      </w:r>
      <w:r w:rsidR="00FB2F0C">
        <w:rPr>
          <w:rFonts w:ascii="Verdana" w:hAnsi="Verdana" w:cs="Arial"/>
        </w:rPr>
        <w:t>.</w:t>
      </w:r>
      <w:r>
        <w:rPr>
          <w:rFonts w:ascii="Verdana" w:hAnsi="Verdana" w:cs="Arial"/>
        </w:rPr>
        <w:t xml:space="preserve"> </w:t>
      </w:r>
    </w:p>
    <w:p w14:paraId="04E7358E" w14:textId="77777777" w:rsidR="003C62C6" w:rsidRDefault="003C62C6" w:rsidP="00F82CF9">
      <w:pPr>
        <w:jc w:val="both"/>
        <w:rPr>
          <w:rFonts w:ascii="Verdana" w:hAnsi="Verdana" w:cs="Arial"/>
        </w:rPr>
      </w:pPr>
    </w:p>
    <w:p w14:paraId="278FB012" w14:textId="2522D7B1" w:rsidR="008F3A9B" w:rsidRPr="003C62C6" w:rsidRDefault="008F3A9B" w:rsidP="008F3A9B">
      <w:pPr>
        <w:autoSpaceDE w:val="0"/>
        <w:autoSpaceDN w:val="0"/>
        <w:adjustRightInd w:val="0"/>
        <w:ind w:firstLine="720"/>
        <w:jc w:val="both"/>
        <w:rPr>
          <w:rFonts w:ascii="Verdana" w:hAnsi="Verdana" w:cs="Arial"/>
        </w:rPr>
      </w:pPr>
      <w:r w:rsidRPr="003C62C6">
        <w:rPr>
          <w:rFonts w:ascii="Verdana" w:hAnsi="Verdana" w:cs="Arial"/>
          <w:b/>
          <w:bCs/>
        </w:rPr>
        <w:t xml:space="preserve">Art. </w:t>
      </w:r>
      <w:r w:rsidR="00BF19B7">
        <w:rPr>
          <w:rFonts w:ascii="Verdana" w:hAnsi="Verdana" w:cs="Arial"/>
          <w:b/>
          <w:bCs/>
        </w:rPr>
        <w:t>6</w:t>
      </w:r>
      <w:r w:rsidRPr="003C62C6">
        <w:rPr>
          <w:rFonts w:ascii="Verdana" w:hAnsi="Verdana" w:cs="Arial"/>
          <w:b/>
          <w:bCs/>
        </w:rPr>
        <w:t>.</w:t>
      </w:r>
      <w:r w:rsidRPr="003C62C6">
        <w:rPr>
          <w:rFonts w:ascii="Verdana" w:hAnsi="Verdana" w:cs="Arial"/>
        </w:rPr>
        <w:t xml:space="preserve">  - Prezenta hotărâre </w:t>
      </w:r>
      <w:r w:rsidR="00C64954">
        <w:rPr>
          <w:rFonts w:ascii="Verdana" w:hAnsi="Verdana" w:cs="Arial"/>
        </w:rPr>
        <w:t xml:space="preserve">se comunică </w:t>
      </w:r>
      <w:r w:rsidR="00290A6F">
        <w:rPr>
          <w:rFonts w:ascii="Verdana" w:hAnsi="Verdana" w:cs="Arial"/>
        </w:rPr>
        <w:t>tuturor structurilor</w:t>
      </w:r>
      <w:r w:rsidR="00C64954" w:rsidRPr="003C62C6">
        <w:rPr>
          <w:rFonts w:ascii="Verdana" w:hAnsi="Verdana" w:cs="Arial"/>
        </w:rPr>
        <w:t xml:space="preserve"> teritoriale ale </w:t>
      </w:r>
      <w:r w:rsidR="00C64954">
        <w:rPr>
          <w:rFonts w:ascii="Verdana" w:hAnsi="Verdana" w:cs="Arial"/>
        </w:rPr>
        <w:t>I.N.P.P.A.</w:t>
      </w:r>
      <w:r w:rsidR="00BF19B7">
        <w:rPr>
          <w:rFonts w:ascii="Verdana" w:hAnsi="Verdana" w:cs="Arial"/>
        </w:rPr>
        <w:t>, care o vor comunica cursanților proprii,</w:t>
      </w:r>
      <w:r w:rsidR="00C64954" w:rsidRPr="003C62C6">
        <w:rPr>
          <w:rFonts w:ascii="Verdana" w:hAnsi="Verdana" w:cs="Arial"/>
        </w:rPr>
        <w:t xml:space="preserve"> </w:t>
      </w:r>
      <w:r w:rsidR="00BF19B7">
        <w:rPr>
          <w:rFonts w:ascii="Verdana" w:hAnsi="Verdana" w:cs="Arial"/>
        </w:rPr>
        <w:t xml:space="preserve">și </w:t>
      </w:r>
      <w:r w:rsidR="00290A6F">
        <w:rPr>
          <w:rFonts w:ascii="Verdana" w:hAnsi="Verdana" w:cs="Arial"/>
        </w:rPr>
        <w:t xml:space="preserve">se </w:t>
      </w:r>
      <w:r w:rsidR="00BF19B7">
        <w:rPr>
          <w:rFonts w:ascii="Verdana" w:hAnsi="Verdana" w:cs="Arial"/>
        </w:rPr>
        <w:t>publică pe pagina web a I.N.P.P.A.</w:t>
      </w:r>
      <w:r w:rsidRPr="003C62C6">
        <w:rPr>
          <w:rFonts w:ascii="Verdana" w:hAnsi="Verdana" w:cs="Arial"/>
        </w:rPr>
        <w:t xml:space="preserve"> – </w:t>
      </w:r>
      <w:hyperlink r:id="rId7" w:history="1">
        <w:r w:rsidR="00B14C57" w:rsidRPr="00031CF0">
          <w:rPr>
            <w:rStyle w:val="Hyperlink"/>
            <w:rFonts w:ascii="Verdana" w:hAnsi="Verdana" w:cs="Arial"/>
          </w:rPr>
          <w:t>www.inppa.ro</w:t>
        </w:r>
      </w:hyperlink>
      <w:r w:rsidRPr="003C62C6">
        <w:rPr>
          <w:rFonts w:ascii="Verdana" w:hAnsi="Verdana" w:cs="Arial"/>
        </w:rPr>
        <w:t xml:space="preserve">. </w:t>
      </w:r>
    </w:p>
    <w:p w14:paraId="4E626201" w14:textId="77777777" w:rsidR="008F3A9B" w:rsidRPr="003C62C6" w:rsidRDefault="008F3A9B" w:rsidP="008F3A9B">
      <w:pPr>
        <w:rPr>
          <w:rFonts w:ascii="Verdana" w:hAnsi="Verdana" w:cs="Arial"/>
          <w:sz w:val="16"/>
          <w:szCs w:val="16"/>
        </w:rPr>
      </w:pPr>
    </w:p>
    <w:p w14:paraId="2F56946F" w14:textId="77777777" w:rsidR="007E3E37" w:rsidRPr="003C62C6" w:rsidRDefault="008F3A9B" w:rsidP="008F3A9B">
      <w:pPr>
        <w:ind w:firstLine="720"/>
        <w:jc w:val="both"/>
        <w:rPr>
          <w:rFonts w:ascii="Verdana" w:hAnsi="Verdana"/>
        </w:rPr>
      </w:pPr>
      <w:r w:rsidRPr="003C62C6">
        <w:rPr>
          <w:rFonts w:ascii="Verdana" w:hAnsi="Verdana" w:cs="Arial"/>
        </w:rPr>
        <w:tab/>
      </w:r>
    </w:p>
    <w:p w14:paraId="27893886" w14:textId="77777777" w:rsidR="00C65E90" w:rsidRPr="003C62C6" w:rsidRDefault="00C65E90" w:rsidP="008F3A9B">
      <w:pPr>
        <w:ind w:firstLine="720"/>
        <w:jc w:val="center"/>
        <w:rPr>
          <w:rFonts w:ascii="Verdana" w:hAnsi="Verdana"/>
        </w:rPr>
      </w:pPr>
    </w:p>
    <w:p w14:paraId="757F9A08" w14:textId="22B6F062" w:rsidR="00EB1D3A" w:rsidRPr="00C64954" w:rsidRDefault="005202EE" w:rsidP="00284691">
      <w:pPr>
        <w:jc w:val="center"/>
        <w:rPr>
          <w:rFonts w:ascii="Verdana" w:hAnsi="Verdana" w:cs="Tahoma"/>
          <w:b/>
          <w:bCs/>
        </w:rPr>
      </w:pPr>
      <w:r w:rsidRPr="003C62C6">
        <w:rPr>
          <w:rFonts w:ascii="Verdana" w:hAnsi="Verdana" w:cs="Arial"/>
          <w:b/>
          <w:bCs/>
        </w:rPr>
        <w:t xml:space="preserve">CONSILIUL DE CONDUCERE AL </w:t>
      </w:r>
      <w:r w:rsidR="00605A96">
        <w:rPr>
          <w:rFonts w:ascii="Verdana" w:hAnsi="Verdana" w:cs="Arial"/>
          <w:b/>
          <w:bCs/>
        </w:rPr>
        <w:t>I.N.P.P.A.</w:t>
      </w:r>
    </w:p>
    <w:sectPr w:rsidR="00EB1D3A" w:rsidRPr="00C64954" w:rsidSect="00424F48">
      <w:footerReference w:type="even" r:id="rId8"/>
      <w:footerReference w:type="default" r:id="rId9"/>
      <w:pgSz w:w="11909" w:h="16834" w:code="9"/>
      <w:pgMar w:top="720"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28F1" w14:textId="77777777" w:rsidR="006B3728" w:rsidRDefault="006B3728">
      <w:r>
        <w:separator/>
      </w:r>
    </w:p>
  </w:endnote>
  <w:endnote w:type="continuationSeparator" w:id="0">
    <w:p w14:paraId="4DF91748" w14:textId="77777777" w:rsidR="006B3728" w:rsidRDefault="006B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AA9A" w14:textId="77777777" w:rsidR="00A26838" w:rsidRDefault="00A26838"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09DA7F" w14:textId="77777777" w:rsidR="00A26838" w:rsidRDefault="00A26838" w:rsidP="0042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9C3E" w14:textId="236B9131" w:rsidR="00A26838" w:rsidRDefault="00A26838"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2186">
      <w:rPr>
        <w:rStyle w:val="PageNumber"/>
        <w:noProof/>
      </w:rPr>
      <w:t>1</w:t>
    </w:r>
    <w:r>
      <w:rPr>
        <w:rStyle w:val="PageNumber"/>
      </w:rPr>
      <w:fldChar w:fldCharType="end"/>
    </w:r>
  </w:p>
  <w:p w14:paraId="218EAFFF" w14:textId="77777777" w:rsidR="00A26838" w:rsidRDefault="00A26838" w:rsidP="00424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9E4E" w14:textId="77777777" w:rsidR="006B3728" w:rsidRDefault="006B3728">
      <w:r>
        <w:separator/>
      </w:r>
    </w:p>
  </w:footnote>
  <w:footnote w:type="continuationSeparator" w:id="0">
    <w:p w14:paraId="186685EA" w14:textId="77777777" w:rsidR="006B3728" w:rsidRDefault="006B3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19B8"/>
    <w:multiLevelType w:val="hybridMultilevel"/>
    <w:tmpl w:val="E6EC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B5C48"/>
    <w:multiLevelType w:val="multilevel"/>
    <w:tmpl w:val="97E80B46"/>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ind w:left="2880" w:hanging="360"/>
      </w:pPr>
      <w:rPr>
        <w:rFonts w:hint="default"/>
        <w:b w:val="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00980"/>
    <w:multiLevelType w:val="hybridMultilevel"/>
    <w:tmpl w:val="553E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01D6F"/>
    <w:multiLevelType w:val="hybridMultilevel"/>
    <w:tmpl w:val="C590D470"/>
    <w:lvl w:ilvl="0" w:tplc="6D0CE730">
      <w:start w:val="23"/>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2E1BAC"/>
    <w:multiLevelType w:val="hybridMultilevel"/>
    <w:tmpl w:val="8516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54191"/>
    <w:multiLevelType w:val="hybridMultilevel"/>
    <w:tmpl w:val="B2A29DEC"/>
    <w:lvl w:ilvl="0" w:tplc="61848638">
      <w:start w:val="1"/>
      <w:numFmt w:val="upperRoman"/>
      <w:lvlText w:val="%1."/>
      <w:lvlJc w:val="left"/>
      <w:pPr>
        <w:ind w:left="1080" w:hanging="720"/>
      </w:pPr>
      <w:rPr>
        <w:rFonts w:cs="Tahoma"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85B09"/>
    <w:multiLevelType w:val="multilevel"/>
    <w:tmpl w:val="5ABE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73DFF"/>
    <w:multiLevelType w:val="hybridMultilevel"/>
    <w:tmpl w:val="17B492EC"/>
    <w:lvl w:ilvl="0" w:tplc="F0629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594DAA"/>
    <w:multiLevelType w:val="hybridMultilevel"/>
    <w:tmpl w:val="082CCCBC"/>
    <w:lvl w:ilvl="0" w:tplc="6534E93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F116BFC"/>
    <w:multiLevelType w:val="hybridMultilevel"/>
    <w:tmpl w:val="EE12D3C6"/>
    <w:lvl w:ilvl="0" w:tplc="B0EE47E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7609DC"/>
    <w:multiLevelType w:val="hybridMultilevel"/>
    <w:tmpl w:val="614AB278"/>
    <w:lvl w:ilvl="0" w:tplc="A830B14C">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9256D4"/>
    <w:multiLevelType w:val="hybridMultilevel"/>
    <w:tmpl w:val="BAD2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B68E4"/>
    <w:multiLevelType w:val="hybridMultilevel"/>
    <w:tmpl w:val="3436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46F07"/>
    <w:multiLevelType w:val="hybridMultilevel"/>
    <w:tmpl w:val="868AFF62"/>
    <w:lvl w:ilvl="0" w:tplc="D390C43E">
      <w:numFmt w:val="bullet"/>
      <w:lvlText w:val="-"/>
      <w:lvlJc w:val="left"/>
      <w:pPr>
        <w:ind w:left="1980" w:hanging="360"/>
      </w:pPr>
      <w:rPr>
        <w:rFonts w:ascii="Times New Roman" w:eastAsia="Calibr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46E75264"/>
    <w:multiLevelType w:val="hybridMultilevel"/>
    <w:tmpl w:val="744AA700"/>
    <w:lvl w:ilvl="0" w:tplc="720A7CD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AB4CBF"/>
    <w:multiLevelType w:val="hybridMultilevel"/>
    <w:tmpl w:val="63B23556"/>
    <w:lvl w:ilvl="0" w:tplc="03AAD7EA">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E765058"/>
    <w:multiLevelType w:val="hybridMultilevel"/>
    <w:tmpl w:val="1EF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45FA0"/>
    <w:multiLevelType w:val="hybridMultilevel"/>
    <w:tmpl w:val="F952662A"/>
    <w:lvl w:ilvl="0" w:tplc="99503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40221F"/>
    <w:multiLevelType w:val="multilevel"/>
    <w:tmpl w:val="90C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000F3"/>
    <w:multiLevelType w:val="hybridMultilevel"/>
    <w:tmpl w:val="0B96C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DD6384"/>
    <w:multiLevelType w:val="hybridMultilevel"/>
    <w:tmpl w:val="046C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B06A1"/>
    <w:multiLevelType w:val="multilevel"/>
    <w:tmpl w:val="9CCA898C"/>
    <w:lvl w:ilvl="0">
      <w:start w:val="1"/>
      <w:numFmt w:val="bullet"/>
      <w:lvlText w:val="-"/>
      <w:lvlJc w:val="left"/>
      <w:pPr>
        <w:ind w:left="1440" w:hanging="360"/>
      </w:pPr>
      <w:rPr>
        <w:rFonts w:ascii="Calibri" w:eastAsia="Calibri" w:hAnsi="Calibri" w:cs="Calibri" w:hint="default"/>
        <w:sz w:val="20"/>
      </w:rPr>
    </w:lvl>
    <w:lvl w:ilvl="1">
      <w:start w:val="1"/>
      <w:numFmt w:val="upperLetter"/>
      <w:lvlText w:val="%2."/>
      <w:lvlJc w:val="left"/>
      <w:pPr>
        <w:ind w:left="2160" w:hanging="360"/>
      </w:pPr>
      <w:rPr>
        <w:rFonts w:hint="default"/>
      </w:rPr>
    </w:lvl>
    <w:lvl w:ilvl="2">
      <w:start w:val="1"/>
      <w:numFmt w:val="lowerLetter"/>
      <w:lvlText w:val="%3."/>
      <w:lvlJc w:val="left"/>
      <w:pPr>
        <w:ind w:left="2880" w:hanging="360"/>
      </w:pPr>
      <w:rPr>
        <w:rFonts w:hint="default"/>
      </w:rPr>
    </w:lvl>
    <w:lvl w:ilvl="3">
      <w:start w:val="1"/>
      <w:numFmt w:val="decimal"/>
      <w:lvlText w:val="%4."/>
      <w:lvlJc w:val="left"/>
      <w:pPr>
        <w:ind w:left="3600" w:hanging="360"/>
      </w:pPr>
      <w:rPr>
        <w:rFonts w:hint="default"/>
      </w:rPr>
    </w:lvl>
    <w:lvl w:ilvl="4">
      <w:start w:val="2"/>
      <w:numFmt w:val="decimal"/>
      <w:lvlText w:val="%5."/>
      <w:lvlJc w:val="left"/>
      <w:pPr>
        <w:ind w:left="4320" w:hanging="360"/>
      </w:pPr>
      <w:rPr>
        <w:rFonts w:hint="default"/>
        <w:b w:val="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7DBA28B8"/>
    <w:multiLevelType w:val="hybridMultilevel"/>
    <w:tmpl w:val="C7663E74"/>
    <w:lvl w:ilvl="0" w:tplc="0A8CE4F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8"/>
  </w:num>
  <w:num w:numId="2">
    <w:abstractNumId w:val="5"/>
  </w:num>
  <w:num w:numId="3">
    <w:abstractNumId w:val="7"/>
  </w:num>
  <w:num w:numId="4">
    <w:abstractNumId w:val="9"/>
  </w:num>
  <w:num w:numId="5">
    <w:abstractNumId w:val="17"/>
  </w:num>
  <w:num w:numId="6">
    <w:abstractNumId w:val="22"/>
  </w:num>
  <w:num w:numId="7">
    <w:abstractNumId w:val="18"/>
  </w:num>
  <w:num w:numId="8">
    <w:abstractNumId w:val="6"/>
  </w:num>
  <w:num w:numId="9">
    <w:abstractNumId w:val="1"/>
  </w:num>
  <w:num w:numId="10">
    <w:abstractNumId w:val="20"/>
  </w:num>
  <w:num w:numId="11">
    <w:abstractNumId w:val="21"/>
  </w:num>
  <w:num w:numId="12">
    <w:abstractNumId w:val="10"/>
  </w:num>
  <w:num w:numId="13">
    <w:abstractNumId w:val="16"/>
  </w:num>
  <w:num w:numId="14">
    <w:abstractNumId w:val="15"/>
  </w:num>
  <w:num w:numId="15">
    <w:abstractNumId w:val="12"/>
  </w:num>
  <w:num w:numId="16">
    <w:abstractNumId w:val="0"/>
  </w:num>
  <w:num w:numId="17">
    <w:abstractNumId w:val="11"/>
  </w:num>
  <w:num w:numId="18">
    <w:abstractNumId w:val="14"/>
  </w:num>
  <w:num w:numId="19">
    <w:abstractNumId w:val="4"/>
  </w:num>
  <w:num w:numId="20">
    <w:abstractNumId w:val="13"/>
  </w:num>
  <w:num w:numId="21">
    <w:abstractNumId w:val="19"/>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90"/>
    <w:rsid w:val="00001A30"/>
    <w:rsid w:val="00083AC2"/>
    <w:rsid w:val="000A49B0"/>
    <w:rsid w:val="000A4FFC"/>
    <w:rsid w:val="000B1081"/>
    <w:rsid w:val="000C7DF3"/>
    <w:rsid w:val="000D1FC9"/>
    <w:rsid w:val="000D3545"/>
    <w:rsid w:val="001021E8"/>
    <w:rsid w:val="00144DC9"/>
    <w:rsid w:val="00160BFE"/>
    <w:rsid w:val="00163F3D"/>
    <w:rsid w:val="00194F05"/>
    <w:rsid w:val="001A277B"/>
    <w:rsid w:val="001A2C6C"/>
    <w:rsid w:val="001C61FC"/>
    <w:rsid w:val="001D2D97"/>
    <w:rsid w:val="001E2621"/>
    <w:rsid w:val="001F75EA"/>
    <w:rsid w:val="00204D14"/>
    <w:rsid w:val="0023560E"/>
    <w:rsid w:val="00240FC9"/>
    <w:rsid w:val="0026256A"/>
    <w:rsid w:val="00284691"/>
    <w:rsid w:val="0028733A"/>
    <w:rsid w:val="00290A6F"/>
    <w:rsid w:val="002E7BB9"/>
    <w:rsid w:val="0033333E"/>
    <w:rsid w:val="00352C1C"/>
    <w:rsid w:val="00370BCD"/>
    <w:rsid w:val="00383ABB"/>
    <w:rsid w:val="003918D8"/>
    <w:rsid w:val="003C62C6"/>
    <w:rsid w:val="003E4C73"/>
    <w:rsid w:val="00413ED2"/>
    <w:rsid w:val="00424F48"/>
    <w:rsid w:val="00424F71"/>
    <w:rsid w:val="0046447A"/>
    <w:rsid w:val="0046781E"/>
    <w:rsid w:val="00476AA1"/>
    <w:rsid w:val="004852BF"/>
    <w:rsid w:val="004A5A2B"/>
    <w:rsid w:val="004B62C7"/>
    <w:rsid w:val="004B7B1D"/>
    <w:rsid w:val="004E4B05"/>
    <w:rsid w:val="00506EE6"/>
    <w:rsid w:val="005202EE"/>
    <w:rsid w:val="005455AE"/>
    <w:rsid w:val="00547A20"/>
    <w:rsid w:val="00556608"/>
    <w:rsid w:val="005620D9"/>
    <w:rsid w:val="005666E5"/>
    <w:rsid w:val="0057163E"/>
    <w:rsid w:val="00571DCB"/>
    <w:rsid w:val="00581BA3"/>
    <w:rsid w:val="0059059A"/>
    <w:rsid w:val="005B7B0C"/>
    <w:rsid w:val="005D0475"/>
    <w:rsid w:val="005D5BC5"/>
    <w:rsid w:val="005E10C3"/>
    <w:rsid w:val="005F21C2"/>
    <w:rsid w:val="005F3F18"/>
    <w:rsid w:val="005F4238"/>
    <w:rsid w:val="00602A03"/>
    <w:rsid w:val="00605A96"/>
    <w:rsid w:val="0060650F"/>
    <w:rsid w:val="006248BB"/>
    <w:rsid w:val="006375F1"/>
    <w:rsid w:val="0068716F"/>
    <w:rsid w:val="00687362"/>
    <w:rsid w:val="00687C8D"/>
    <w:rsid w:val="006B3728"/>
    <w:rsid w:val="006B73C7"/>
    <w:rsid w:val="006C1704"/>
    <w:rsid w:val="006D147E"/>
    <w:rsid w:val="006D627A"/>
    <w:rsid w:val="006E2CEE"/>
    <w:rsid w:val="00711176"/>
    <w:rsid w:val="007127E9"/>
    <w:rsid w:val="00713BB7"/>
    <w:rsid w:val="00716430"/>
    <w:rsid w:val="007222C2"/>
    <w:rsid w:val="00732B69"/>
    <w:rsid w:val="00732DA8"/>
    <w:rsid w:val="007657BE"/>
    <w:rsid w:val="00786537"/>
    <w:rsid w:val="00786B83"/>
    <w:rsid w:val="007A61A4"/>
    <w:rsid w:val="007A63CC"/>
    <w:rsid w:val="007B1896"/>
    <w:rsid w:val="007C239A"/>
    <w:rsid w:val="007D29D1"/>
    <w:rsid w:val="007D3594"/>
    <w:rsid w:val="007D5F78"/>
    <w:rsid w:val="007E0FB8"/>
    <w:rsid w:val="007E3E37"/>
    <w:rsid w:val="007F04FB"/>
    <w:rsid w:val="007F4398"/>
    <w:rsid w:val="00805970"/>
    <w:rsid w:val="008329BE"/>
    <w:rsid w:val="00845B25"/>
    <w:rsid w:val="00853571"/>
    <w:rsid w:val="00857D99"/>
    <w:rsid w:val="008771D5"/>
    <w:rsid w:val="008773EA"/>
    <w:rsid w:val="008F3A9B"/>
    <w:rsid w:val="00902E4A"/>
    <w:rsid w:val="0094557F"/>
    <w:rsid w:val="009739E5"/>
    <w:rsid w:val="009B4AAD"/>
    <w:rsid w:val="009E63DB"/>
    <w:rsid w:val="00A012F4"/>
    <w:rsid w:val="00A06B36"/>
    <w:rsid w:val="00A26838"/>
    <w:rsid w:val="00A411A1"/>
    <w:rsid w:val="00A52674"/>
    <w:rsid w:val="00A75841"/>
    <w:rsid w:val="00A761A8"/>
    <w:rsid w:val="00A95340"/>
    <w:rsid w:val="00A9756D"/>
    <w:rsid w:val="00AA0A1A"/>
    <w:rsid w:val="00AA0E64"/>
    <w:rsid w:val="00AB28BF"/>
    <w:rsid w:val="00AB42CD"/>
    <w:rsid w:val="00AB7CBD"/>
    <w:rsid w:val="00AC622C"/>
    <w:rsid w:val="00AD0EA2"/>
    <w:rsid w:val="00B14C57"/>
    <w:rsid w:val="00B60671"/>
    <w:rsid w:val="00B71224"/>
    <w:rsid w:val="00B918AF"/>
    <w:rsid w:val="00B95803"/>
    <w:rsid w:val="00BA4EC3"/>
    <w:rsid w:val="00BA757D"/>
    <w:rsid w:val="00BB7C16"/>
    <w:rsid w:val="00BC65C4"/>
    <w:rsid w:val="00BF19B7"/>
    <w:rsid w:val="00BF3B90"/>
    <w:rsid w:val="00C07B80"/>
    <w:rsid w:val="00C21290"/>
    <w:rsid w:val="00C219DF"/>
    <w:rsid w:val="00C25640"/>
    <w:rsid w:val="00C36644"/>
    <w:rsid w:val="00C53A7C"/>
    <w:rsid w:val="00C64954"/>
    <w:rsid w:val="00C65E90"/>
    <w:rsid w:val="00C74A73"/>
    <w:rsid w:val="00C84754"/>
    <w:rsid w:val="00CA754F"/>
    <w:rsid w:val="00CB5A80"/>
    <w:rsid w:val="00CD587B"/>
    <w:rsid w:val="00CE59DF"/>
    <w:rsid w:val="00D11B92"/>
    <w:rsid w:val="00D4648C"/>
    <w:rsid w:val="00D66254"/>
    <w:rsid w:val="00D80E08"/>
    <w:rsid w:val="00DA1C59"/>
    <w:rsid w:val="00DB7E95"/>
    <w:rsid w:val="00DC2186"/>
    <w:rsid w:val="00DC2A62"/>
    <w:rsid w:val="00DC2D8E"/>
    <w:rsid w:val="00DE1F11"/>
    <w:rsid w:val="00E1137E"/>
    <w:rsid w:val="00E45DAC"/>
    <w:rsid w:val="00E555E0"/>
    <w:rsid w:val="00E6462A"/>
    <w:rsid w:val="00E72707"/>
    <w:rsid w:val="00E72989"/>
    <w:rsid w:val="00E87A15"/>
    <w:rsid w:val="00EA5F61"/>
    <w:rsid w:val="00EB1D3A"/>
    <w:rsid w:val="00EB2DAD"/>
    <w:rsid w:val="00EC136E"/>
    <w:rsid w:val="00EC4154"/>
    <w:rsid w:val="00EC77A5"/>
    <w:rsid w:val="00EE4F73"/>
    <w:rsid w:val="00EE5B1C"/>
    <w:rsid w:val="00F007C6"/>
    <w:rsid w:val="00F1600C"/>
    <w:rsid w:val="00F47F04"/>
    <w:rsid w:val="00F61FD9"/>
    <w:rsid w:val="00F632CA"/>
    <w:rsid w:val="00F72C40"/>
    <w:rsid w:val="00F82CF9"/>
    <w:rsid w:val="00F83CA2"/>
    <w:rsid w:val="00F97379"/>
    <w:rsid w:val="00FB2F0C"/>
    <w:rsid w:val="00FC695D"/>
    <w:rsid w:val="00FE5098"/>
    <w:rsid w:val="00FF0950"/>
    <w:rsid w:val="00FF3716"/>
    <w:rsid w:val="00FF5FFA"/>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94617"/>
  <w15:chartTrackingRefBased/>
  <w15:docId w15:val="{90A58235-FC86-40D2-B596-C0731433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E90"/>
    <w:rPr>
      <w:rFonts w:ascii="Arial" w:hAnsi="Arial"/>
      <w:sz w:val="24"/>
      <w:szCs w:val="24"/>
      <w:lang w:val="ro-RO"/>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90"/>
    <w:rPr>
      <w:color w:val="0000FF"/>
      <w:u w:val="single"/>
    </w:rPr>
  </w:style>
  <w:style w:type="paragraph" w:styleId="Footer">
    <w:name w:val="footer"/>
    <w:basedOn w:val="Normal"/>
    <w:rsid w:val="00C65E90"/>
    <w:pPr>
      <w:tabs>
        <w:tab w:val="center" w:pos="4320"/>
        <w:tab w:val="right" w:pos="8640"/>
      </w:tabs>
    </w:pPr>
  </w:style>
  <w:style w:type="character" w:styleId="PageNumber">
    <w:name w:val="page number"/>
    <w:basedOn w:val="DefaultParagraphFont"/>
    <w:rsid w:val="00C65E90"/>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BodyText">
    <w:name w:val="Body Text"/>
    <w:basedOn w:val="Normal"/>
    <w:rsid w:val="00C65E90"/>
    <w:pPr>
      <w:spacing w:line="360" w:lineRule="auto"/>
      <w:jc w:val="both"/>
    </w:pPr>
    <w:rPr>
      <w:rFonts w:ascii="Tahoma" w:hAnsi="Tahoma"/>
      <w:sz w:val="28"/>
      <w:szCs w:val="20"/>
    </w:rPr>
  </w:style>
  <w:style w:type="paragraph" w:styleId="FootnoteText">
    <w:name w:val="footnote text"/>
    <w:basedOn w:val="Normal"/>
    <w:semiHidden/>
    <w:rsid w:val="00C65E90"/>
    <w:rPr>
      <w:rFonts w:ascii="Times New Roman" w:hAnsi="Times New Roman"/>
      <w:sz w:val="20"/>
      <w:szCs w:val="20"/>
      <w:lang w:val="en-US"/>
    </w:rPr>
  </w:style>
  <w:style w:type="character" w:styleId="FootnoteReference">
    <w:name w:val="footnote reference"/>
    <w:semiHidden/>
    <w:rsid w:val="00C65E90"/>
    <w:rPr>
      <w:vertAlign w:val="superscript"/>
    </w:rPr>
  </w:style>
  <w:style w:type="paragraph" w:styleId="BodyTextIndent">
    <w:name w:val="Body Text Indent"/>
    <w:basedOn w:val="Normal"/>
    <w:rsid w:val="00547A20"/>
    <w:pPr>
      <w:spacing w:after="120"/>
      <w:ind w:left="283"/>
    </w:pPr>
  </w:style>
  <w:style w:type="paragraph" w:styleId="BalloonText">
    <w:name w:val="Balloon Text"/>
    <w:basedOn w:val="Normal"/>
    <w:link w:val="BalloonTextChar"/>
    <w:rsid w:val="007657BE"/>
    <w:rPr>
      <w:rFonts w:ascii="Segoe UI" w:hAnsi="Segoe UI" w:cs="Segoe UI"/>
      <w:sz w:val="18"/>
      <w:szCs w:val="18"/>
    </w:rPr>
  </w:style>
  <w:style w:type="character" w:customStyle="1" w:styleId="BalloonTextChar">
    <w:name w:val="Balloon Text Char"/>
    <w:link w:val="BalloonText"/>
    <w:rsid w:val="007657BE"/>
    <w:rPr>
      <w:rFonts w:ascii="Segoe UI" w:hAnsi="Segoe UI" w:cs="Segoe UI"/>
      <w:sz w:val="18"/>
      <w:szCs w:val="18"/>
      <w:lang w:eastAsia="en-US"/>
    </w:rPr>
  </w:style>
  <w:style w:type="paragraph" w:styleId="ListParagraph">
    <w:name w:val="List Paragraph"/>
    <w:basedOn w:val="Normal"/>
    <w:uiPriority w:val="34"/>
    <w:qFormat/>
    <w:rsid w:val="00EB1D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pp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2958</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NRBA</Company>
  <LinksUpToDate>false</LinksUpToDate>
  <CharactersWithSpaces>3419</CharactersWithSpaces>
  <SharedDoc>false</SharedDoc>
  <HLinks>
    <vt:vector size="6" baseType="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Veronica Morecut</dc:creator>
  <cp:keywords/>
  <dc:description/>
  <cp:lastModifiedBy>Sandu Gherasim</cp:lastModifiedBy>
  <cp:revision>6</cp:revision>
  <cp:lastPrinted>2015-10-21T07:15:00Z</cp:lastPrinted>
  <dcterms:created xsi:type="dcterms:W3CDTF">2021-09-09T12:52:00Z</dcterms:created>
  <dcterms:modified xsi:type="dcterms:W3CDTF">2021-09-16T11:56:00Z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14jNc6kmxD4XD2nUXQC1V4CAg2xUKpipzgtP9S6H6LQY</vt:lpwstr>
  </property>
  <property fmtid="{D5CDD505-2E9C-101B-9397-08002B2CF9AE}" pid="4" name="Google.Documents.RevisionId">
    <vt:lpwstr>02536133309089850020</vt:lpwstr>
  </property>
  <property fmtid="{D5CDD505-2E9C-101B-9397-08002B2CF9AE}" pid="5" name="Google.Documents.PreviousRevisionId">
    <vt:lpwstr>04934511203093753634</vt:lpwstr>
  </property>
  <property fmtid="{D5CDD505-2E9C-101B-9397-08002B2CF9AE}" pid="6" name="Google.Documents.PluginVersion">
    <vt:lpwstr>2.0.2662.553</vt:lpwstr>
  </property>
  <property fmtid="{D5CDD505-2E9C-101B-9397-08002B2CF9AE}" pid="7" name="Google.Documents.MergeIncapabilityFlags">
    <vt:i4>0</vt:i4>
  </property>
</Properties>
</file>