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F8C8" w14:textId="77777777" w:rsidR="001D2D97" w:rsidRPr="003C62C6" w:rsidRDefault="001D2D97" w:rsidP="008F3A9B">
      <w:pPr>
        <w:pStyle w:val="Title"/>
        <w:rPr>
          <w:rFonts w:ascii="Arial Black" w:hAnsi="Arial Black" w:cs="Tahoma"/>
          <w:sz w:val="32"/>
          <w:szCs w:val="32"/>
        </w:rPr>
      </w:pPr>
      <w:r w:rsidRPr="003C62C6">
        <w:rPr>
          <w:rFonts w:ascii="Arial Black" w:hAnsi="Arial Black" w:cs="Tahoma"/>
          <w:sz w:val="32"/>
          <w:szCs w:val="32"/>
        </w:rPr>
        <w:t xml:space="preserve">Institutul Naţional pentru </w:t>
      </w:r>
    </w:p>
    <w:p w14:paraId="6B26F8CE" w14:textId="77777777" w:rsidR="00C65E90" w:rsidRPr="003C62C6" w:rsidRDefault="001D2D97" w:rsidP="008F3A9B">
      <w:pPr>
        <w:pStyle w:val="Title"/>
        <w:rPr>
          <w:rFonts w:ascii="Arial Black" w:hAnsi="Arial Black" w:cs="Tahoma"/>
          <w:sz w:val="32"/>
          <w:szCs w:val="32"/>
        </w:rPr>
      </w:pPr>
      <w:r w:rsidRPr="003C62C6">
        <w:rPr>
          <w:rFonts w:ascii="Arial Black" w:hAnsi="Arial Black" w:cs="Tahoma"/>
          <w:sz w:val="32"/>
          <w:szCs w:val="32"/>
        </w:rPr>
        <w:t>Pregătirea şi Perfecţionarea Avocaţilor</w:t>
      </w:r>
    </w:p>
    <w:p w14:paraId="5123E31B" w14:textId="77777777" w:rsidR="00C65E90" w:rsidRPr="003C62C6" w:rsidRDefault="00C65E90" w:rsidP="008F3A9B">
      <w:pPr>
        <w:pStyle w:val="Subtitle"/>
        <w:rPr>
          <w:rFonts w:ascii="Verdana" w:hAnsi="Verdana" w:cs="Tahoma"/>
          <w:b/>
          <w:bCs/>
          <w:i/>
          <w:iCs/>
          <w:sz w:val="32"/>
          <w:szCs w:val="32"/>
        </w:rPr>
      </w:pPr>
      <w:r w:rsidRPr="003C62C6">
        <w:rPr>
          <w:rFonts w:ascii="Verdana" w:hAnsi="Verdana" w:cs="Tahoma"/>
          <w:b/>
          <w:bCs/>
          <w:i/>
          <w:iCs/>
          <w:sz w:val="32"/>
          <w:szCs w:val="32"/>
        </w:rPr>
        <w:t xml:space="preserve">CONSILIUL </w:t>
      </w:r>
      <w:r w:rsidR="001D2D97" w:rsidRPr="003C62C6">
        <w:rPr>
          <w:rFonts w:ascii="Verdana" w:hAnsi="Verdana" w:cs="Tahoma"/>
          <w:b/>
          <w:bCs/>
          <w:i/>
          <w:iCs/>
          <w:sz w:val="32"/>
          <w:szCs w:val="32"/>
        </w:rPr>
        <w:t>DE CONDUCERE</w:t>
      </w:r>
    </w:p>
    <w:p w14:paraId="68CC6EC7" w14:textId="77777777" w:rsidR="00C65E90" w:rsidRPr="003C62C6" w:rsidRDefault="00C65E90" w:rsidP="008F3A9B">
      <w:pPr>
        <w:jc w:val="center"/>
        <w:rPr>
          <w:rFonts w:ascii="Verdana" w:hAnsi="Verdana" w:cs="Tahoma"/>
          <w:b/>
          <w:bCs/>
          <w:u w:val="single"/>
        </w:rPr>
      </w:pPr>
    </w:p>
    <w:p w14:paraId="05C2BEAF" w14:textId="77777777" w:rsidR="00C65E90" w:rsidRPr="003C62C6" w:rsidRDefault="00C65E90" w:rsidP="008F3A9B">
      <w:pPr>
        <w:jc w:val="center"/>
        <w:rPr>
          <w:rFonts w:ascii="Verdana" w:hAnsi="Verdana"/>
          <w:b/>
        </w:rPr>
      </w:pPr>
    </w:p>
    <w:p w14:paraId="1B19F2C1" w14:textId="77777777" w:rsidR="00C65E90" w:rsidRPr="003C62C6" w:rsidRDefault="00C65E90" w:rsidP="008F3A9B">
      <w:pPr>
        <w:jc w:val="center"/>
        <w:rPr>
          <w:rFonts w:ascii="Verdana" w:hAnsi="Verdana"/>
          <w:b/>
        </w:rPr>
      </w:pPr>
    </w:p>
    <w:p w14:paraId="4D828BE9" w14:textId="77777777" w:rsidR="00C65E90" w:rsidRPr="003C62C6" w:rsidRDefault="00C65E90" w:rsidP="008F3A9B">
      <w:pPr>
        <w:jc w:val="center"/>
        <w:rPr>
          <w:rFonts w:ascii="Verdana" w:hAnsi="Verdana"/>
          <w:b/>
        </w:rPr>
      </w:pPr>
    </w:p>
    <w:p w14:paraId="243E5385" w14:textId="77777777" w:rsidR="00C65E90" w:rsidRPr="003C62C6" w:rsidRDefault="00C65E90" w:rsidP="008F3A9B">
      <w:pPr>
        <w:jc w:val="center"/>
        <w:rPr>
          <w:rFonts w:ascii="Verdana" w:hAnsi="Verdana"/>
          <w:b/>
        </w:rPr>
      </w:pPr>
    </w:p>
    <w:p w14:paraId="0616E20C" w14:textId="5DFDAB6F" w:rsidR="00C65E90" w:rsidRPr="003C62C6" w:rsidRDefault="00C65E90" w:rsidP="008F3A9B">
      <w:pPr>
        <w:jc w:val="center"/>
        <w:rPr>
          <w:rFonts w:ascii="Verdana" w:hAnsi="Verdana" w:cs="Arial"/>
          <w:b/>
          <w:bCs/>
          <w:spacing w:val="20"/>
          <w:w w:val="150"/>
          <w:sz w:val="32"/>
          <w:szCs w:val="32"/>
        </w:rPr>
      </w:pPr>
      <w:r w:rsidRPr="003C62C6">
        <w:rPr>
          <w:rFonts w:ascii="Verdana" w:hAnsi="Verdana" w:cs="Arial"/>
          <w:b/>
          <w:bCs/>
          <w:spacing w:val="20"/>
          <w:w w:val="150"/>
          <w:sz w:val="32"/>
          <w:szCs w:val="32"/>
        </w:rPr>
        <w:t xml:space="preserve">HOTĂRÂREA NR. </w:t>
      </w:r>
      <w:r w:rsidR="00497251">
        <w:rPr>
          <w:rFonts w:ascii="Verdana" w:hAnsi="Verdana" w:cs="Arial"/>
          <w:b/>
          <w:bCs/>
          <w:spacing w:val="20"/>
          <w:w w:val="150"/>
          <w:sz w:val="32"/>
          <w:szCs w:val="32"/>
        </w:rPr>
        <w:t>9</w:t>
      </w:r>
      <w:r w:rsidR="006D627A">
        <w:rPr>
          <w:rFonts w:ascii="Verdana" w:hAnsi="Verdana" w:cs="Arial"/>
          <w:b/>
          <w:bCs/>
          <w:spacing w:val="20"/>
          <w:w w:val="150"/>
          <w:sz w:val="32"/>
          <w:szCs w:val="32"/>
        </w:rPr>
        <w:t>/</w:t>
      </w:r>
      <w:r w:rsidR="009528A3">
        <w:rPr>
          <w:rFonts w:ascii="Verdana" w:hAnsi="Verdana" w:cs="Arial"/>
          <w:b/>
          <w:bCs/>
          <w:spacing w:val="20"/>
          <w:w w:val="150"/>
          <w:sz w:val="32"/>
          <w:szCs w:val="32"/>
        </w:rPr>
        <w:t>1</w:t>
      </w:r>
      <w:r w:rsidR="00497251">
        <w:rPr>
          <w:rFonts w:ascii="Verdana" w:hAnsi="Verdana" w:cs="Arial"/>
          <w:b/>
          <w:bCs/>
          <w:spacing w:val="20"/>
          <w:w w:val="150"/>
          <w:sz w:val="32"/>
          <w:szCs w:val="32"/>
        </w:rPr>
        <w:t>0</w:t>
      </w:r>
      <w:r w:rsidR="006D627A">
        <w:rPr>
          <w:rFonts w:ascii="Verdana" w:hAnsi="Verdana" w:cs="Arial"/>
          <w:b/>
          <w:bCs/>
          <w:spacing w:val="20"/>
          <w:w w:val="150"/>
          <w:sz w:val="32"/>
          <w:szCs w:val="32"/>
        </w:rPr>
        <w:t>.0</w:t>
      </w:r>
      <w:r w:rsidR="009528A3">
        <w:rPr>
          <w:rFonts w:ascii="Verdana" w:hAnsi="Verdana" w:cs="Arial"/>
          <w:b/>
          <w:bCs/>
          <w:spacing w:val="20"/>
          <w:w w:val="150"/>
          <w:sz w:val="32"/>
          <w:szCs w:val="32"/>
        </w:rPr>
        <w:t>9</w:t>
      </w:r>
      <w:r w:rsidR="006D627A">
        <w:rPr>
          <w:rFonts w:ascii="Verdana" w:hAnsi="Verdana" w:cs="Arial"/>
          <w:b/>
          <w:bCs/>
          <w:spacing w:val="20"/>
          <w:w w:val="150"/>
          <w:sz w:val="32"/>
          <w:szCs w:val="32"/>
        </w:rPr>
        <w:t>.202</w:t>
      </w:r>
      <w:r w:rsidR="00602A03">
        <w:rPr>
          <w:rFonts w:ascii="Verdana" w:hAnsi="Verdana" w:cs="Arial"/>
          <w:b/>
          <w:bCs/>
          <w:spacing w:val="20"/>
          <w:w w:val="150"/>
          <w:sz w:val="32"/>
          <w:szCs w:val="32"/>
        </w:rPr>
        <w:t>1</w:t>
      </w:r>
    </w:p>
    <w:p w14:paraId="36EA99D6" w14:textId="28CD0AC8" w:rsidR="00001A30" w:rsidRPr="003C62C6" w:rsidRDefault="00001A30" w:rsidP="008F3A9B">
      <w:pPr>
        <w:jc w:val="center"/>
        <w:rPr>
          <w:rFonts w:cs="Arial"/>
          <w:b/>
          <w:bCs/>
          <w:sz w:val="22"/>
          <w:szCs w:val="22"/>
        </w:rPr>
      </w:pPr>
      <w:r w:rsidRPr="003C62C6">
        <w:rPr>
          <w:rFonts w:cs="Arial"/>
          <w:b/>
          <w:bCs/>
          <w:sz w:val="22"/>
          <w:szCs w:val="22"/>
        </w:rPr>
        <w:t xml:space="preserve">privind </w:t>
      </w:r>
      <w:r w:rsidR="00BA757D">
        <w:rPr>
          <w:rFonts w:cs="Arial"/>
          <w:b/>
          <w:bCs/>
          <w:sz w:val="22"/>
          <w:szCs w:val="22"/>
        </w:rPr>
        <w:t xml:space="preserve">organizarea și desfășurarea testării </w:t>
      </w:r>
      <w:r w:rsidR="00065DA8">
        <w:rPr>
          <w:rFonts w:cs="Arial"/>
          <w:b/>
          <w:bCs/>
          <w:sz w:val="22"/>
          <w:szCs w:val="22"/>
        </w:rPr>
        <w:t xml:space="preserve">scrise la disciplinele opționale pentru </w:t>
      </w:r>
      <w:r w:rsidR="00065DA8" w:rsidRPr="00065DA8">
        <w:rPr>
          <w:rFonts w:cs="Arial"/>
          <w:b/>
          <w:bCs/>
          <w:sz w:val="22"/>
          <w:szCs w:val="22"/>
        </w:rPr>
        <w:t>avocații stagiari care nu au promovat examenul de absolvire a I.N.P.P.A. în sesiuni anterioare</w:t>
      </w:r>
      <w:r w:rsidR="00065DA8">
        <w:rPr>
          <w:rFonts w:cs="Arial"/>
          <w:b/>
          <w:bCs/>
          <w:sz w:val="22"/>
          <w:szCs w:val="22"/>
        </w:rPr>
        <w:t xml:space="preserve"> și</w:t>
      </w:r>
      <w:r w:rsidR="00065DA8" w:rsidRPr="00065DA8">
        <w:rPr>
          <w:rFonts w:cs="Arial"/>
          <w:b/>
          <w:bCs/>
          <w:sz w:val="22"/>
          <w:szCs w:val="22"/>
        </w:rPr>
        <w:t xml:space="preserve"> nu sunt cursanți ai anului II</w:t>
      </w:r>
      <w:r w:rsidR="00BA757D">
        <w:rPr>
          <w:rFonts w:cs="Arial"/>
          <w:b/>
          <w:bCs/>
          <w:sz w:val="22"/>
          <w:szCs w:val="22"/>
        </w:rPr>
        <w:t xml:space="preserve"> </w:t>
      </w:r>
    </w:p>
    <w:p w14:paraId="611C786A" w14:textId="77777777" w:rsidR="004A5A2B" w:rsidRPr="003C62C6" w:rsidRDefault="004A5A2B" w:rsidP="008F3A9B">
      <w:pPr>
        <w:jc w:val="center"/>
        <w:rPr>
          <w:rFonts w:ascii="Verdana" w:hAnsi="Verdana"/>
          <w:b/>
        </w:rPr>
      </w:pPr>
    </w:p>
    <w:p w14:paraId="04536CC9" w14:textId="77777777" w:rsidR="00C65E90" w:rsidRPr="003C62C6" w:rsidRDefault="00C65E90" w:rsidP="008F3A9B">
      <w:pPr>
        <w:rPr>
          <w:rFonts w:ascii="Verdana" w:hAnsi="Verdana"/>
          <w:b/>
        </w:rPr>
      </w:pPr>
    </w:p>
    <w:p w14:paraId="685EA9A4" w14:textId="3CD60469" w:rsidR="000215DA" w:rsidRDefault="00001A30" w:rsidP="006E2CEE">
      <w:pPr>
        <w:ind w:firstLine="567"/>
        <w:jc w:val="both"/>
        <w:rPr>
          <w:rFonts w:ascii="Verdana" w:hAnsi="Verdana"/>
        </w:rPr>
      </w:pPr>
      <w:r w:rsidRPr="003C62C6">
        <w:rPr>
          <w:rFonts w:ascii="Verdana" w:hAnsi="Verdana" w:cs="Arial"/>
        </w:rPr>
        <w:t xml:space="preserve">Având în vedere </w:t>
      </w:r>
      <w:r w:rsidR="000215DA">
        <w:rPr>
          <w:rFonts w:ascii="Verdana" w:hAnsi="Verdana" w:cs="Arial"/>
        </w:rPr>
        <w:t xml:space="preserve">prevederile art. </w:t>
      </w:r>
      <w:r w:rsidR="00DC7D0E">
        <w:rPr>
          <w:rFonts w:ascii="Verdana" w:hAnsi="Verdana" w:cs="Arial"/>
        </w:rPr>
        <w:t>1 lit.b (ii)</w:t>
      </w:r>
      <w:r w:rsidR="000215DA">
        <w:rPr>
          <w:rFonts w:ascii="Verdana" w:hAnsi="Verdana" w:cs="Arial"/>
        </w:rPr>
        <w:t xml:space="preserve"> al Hotărârii </w:t>
      </w:r>
      <w:r w:rsidR="00065DA8">
        <w:rPr>
          <w:rFonts w:ascii="Verdana" w:hAnsi="Verdana" w:cs="Arial"/>
        </w:rPr>
        <w:t xml:space="preserve">nr. </w:t>
      </w:r>
      <w:r w:rsidR="00F4225A">
        <w:rPr>
          <w:rFonts w:ascii="Verdana" w:hAnsi="Verdana" w:cs="Arial"/>
        </w:rPr>
        <w:t>191</w:t>
      </w:r>
      <w:r w:rsidR="00065DA8">
        <w:rPr>
          <w:rFonts w:ascii="Verdana" w:hAnsi="Verdana" w:cs="Arial"/>
        </w:rPr>
        <w:t xml:space="preserve"> a </w:t>
      </w:r>
      <w:r w:rsidR="000215DA">
        <w:rPr>
          <w:rFonts w:ascii="Verdana" w:hAnsi="Verdana" w:cs="Arial"/>
        </w:rPr>
        <w:t xml:space="preserve">Consiliului U.N.B.R. din data de 9-10.09.2021 privind echivalarea Probei 2 a examenului de absolvire a I.N.P.P.A. </w:t>
      </w:r>
      <w:r w:rsidR="00C93549">
        <w:rPr>
          <w:rFonts w:ascii="Verdana" w:hAnsi="Verdana" w:cs="Arial"/>
        </w:rPr>
        <w:t xml:space="preserve">din sesiunea noiembrie 2021 </w:t>
      </w:r>
      <w:r w:rsidR="000215DA">
        <w:rPr>
          <w:rFonts w:ascii="Verdana" w:hAnsi="Verdana" w:cs="Arial"/>
        </w:rPr>
        <w:t xml:space="preserve">cu o testare scrisă organizată, la disciplinele opționale, pentru </w:t>
      </w:r>
      <w:r w:rsidR="00462C18">
        <w:rPr>
          <w:rFonts w:ascii="Verdana" w:hAnsi="Verdana" w:cs="Arial"/>
        </w:rPr>
        <w:t>a</w:t>
      </w:r>
      <w:r w:rsidR="00462C18">
        <w:rPr>
          <w:rFonts w:ascii="Verdana" w:hAnsi="Verdana"/>
        </w:rPr>
        <w:t>vocații</w:t>
      </w:r>
      <w:r w:rsidR="000215DA">
        <w:rPr>
          <w:rFonts w:ascii="Verdana" w:hAnsi="Verdana"/>
        </w:rPr>
        <w:t xml:space="preserve"> stagiari care nu au promovat examenul de absolvire a I.N.P.P.A. în sesiuni anterioare</w:t>
      </w:r>
      <w:r w:rsidR="00C93549">
        <w:rPr>
          <w:rFonts w:ascii="Verdana" w:hAnsi="Verdana"/>
        </w:rPr>
        <w:t>,</w:t>
      </w:r>
      <w:r w:rsidR="000215DA">
        <w:rPr>
          <w:rFonts w:ascii="Verdana" w:hAnsi="Verdana"/>
        </w:rPr>
        <w:t xml:space="preserve"> nu sunt cursanți ai actualului ciclu al anului II</w:t>
      </w:r>
      <w:r w:rsidR="00C93549">
        <w:rPr>
          <w:rFonts w:ascii="Verdana" w:hAnsi="Verdana"/>
        </w:rPr>
        <w:t xml:space="preserve"> și care figurează înscriși la un pachet de discipline opționale</w:t>
      </w:r>
      <w:r w:rsidR="000215DA">
        <w:rPr>
          <w:rFonts w:ascii="Verdana" w:hAnsi="Verdana"/>
        </w:rPr>
        <w:t>,</w:t>
      </w:r>
    </w:p>
    <w:p w14:paraId="020B3C3D" w14:textId="77777777" w:rsidR="000215DA" w:rsidRDefault="000215DA" w:rsidP="006E2CE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Având în vedere că prin aceeași Hotărâre s-a stabilit ca organizarea testării scrise de mai sus să fie realizată de Consiliul de conducere al I.N.P.P.A.</w:t>
      </w:r>
    </w:p>
    <w:p w14:paraId="0F810069" w14:textId="2FCF706A" w:rsidR="00001A30" w:rsidRPr="003C62C6" w:rsidRDefault="000215DA" w:rsidP="006E2CEE">
      <w:pPr>
        <w:ind w:firstLine="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Având în vedere datele stabilite </w:t>
      </w:r>
      <w:r>
        <w:rPr>
          <w:rFonts w:ascii="Verdana" w:hAnsi="Verdana" w:cs="Arial"/>
        </w:rPr>
        <w:t xml:space="preserve">prin Hotărârea nr. </w:t>
      </w:r>
      <w:r w:rsidR="00497251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/25-26.08.2021 </w:t>
      </w:r>
      <w:r w:rsidRPr="00A26838">
        <w:rPr>
          <w:rFonts w:ascii="Verdana" w:hAnsi="Verdana" w:cs="Arial"/>
        </w:rPr>
        <w:t>a Consiliului de conducere al I.N.P.P.A.</w:t>
      </w:r>
      <w:r>
        <w:rPr>
          <w:rFonts w:ascii="Verdana" w:hAnsi="Verdana" w:cs="Arial"/>
        </w:rPr>
        <w:t xml:space="preserve"> privind </w:t>
      </w:r>
      <w:r>
        <w:rPr>
          <w:rFonts w:ascii="Verdana" w:hAnsi="Verdana"/>
        </w:rPr>
        <w:t xml:space="preserve">organizarea, </w:t>
      </w:r>
      <w:r>
        <w:rPr>
          <w:rFonts w:ascii="Verdana" w:hAnsi="Verdana" w:cs="Arial"/>
        </w:rPr>
        <w:t>în baza</w:t>
      </w:r>
      <w:r>
        <w:rPr>
          <w:rFonts w:ascii="Verdana" w:hAnsi="Verdana"/>
        </w:rPr>
        <w:t xml:space="preserve"> prevederilor Art</w:t>
      </w:r>
      <w:r w:rsidR="00497251">
        <w:rPr>
          <w:rFonts w:ascii="Verdana" w:hAnsi="Verdana"/>
        </w:rPr>
        <w:t>.</w:t>
      </w:r>
      <w:r>
        <w:rPr>
          <w:rFonts w:ascii="Verdana" w:hAnsi="Verdana"/>
        </w:rPr>
        <w:t xml:space="preserve"> 48 alin. (7) </w:t>
      </w:r>
      <w:r w:rsidR="00A26838">
        <w:rPr>
          <w:rFonts w:ascii="Verdana" w:hAnsi="Verdana" w:cs="Arial"/>
        </w:rPr>
        <w:t>a</w:t>
      </w:r>
      <w:r w:rsidR="00C93549">
        <w:rPr>
          <w:rFonts w:ascii="Verdana" w:hAnsi="Verdana" w:cs="Arial"/>
        </w:rPr>
        <w:t>l</w:t>
      </w:r>
      <w:r w:rsidR="00A26838">
        <w:rPr>
          <w:rFonts w:ascii="Verdana" w:hAnsi="Verdana" w:cs="Arial"/>
        </w:rPr>
        <w:t xml:space="preserve"> Regulamentului de organizare și funcționare a I.N.P.P.A.</w:t>
      </w:r>
      <w:r>
        <w:rPr>
          <w:rFonts w:ascii="Verdana" w:hAnsi="Verdana" w:cs="Arial"/>
        </w:rPr>
        <w:t xml:space="preserve">, </w:t>
      </w:r>
      <w:r w:rsidR="00C93549">
        <w:rPr>
          <w:rFonts w:ascii="Verdana" w:hAnsi="Verdana" w:cs="Arial"/>
        </w:rPr>
        <w:t xml:space="preserve">a </w:t>
      </w:r>
      <w:r>
        <w:rPr>
          <w:rFonts w:ascii="Verdana" w:hAnsi="Verdana" w:cs="Arial"/>
        </w:rPr>
        <w:t xml:space="preserve">unei testări </w:t>
      </w:r>
      <w:r w:rsidR="00C93549">
        <w:rPr>
          <w:rFonts w:ascii="Verdana" w:hAnsi="Verdana" w:cs="Arial"/>
        </w:rPr>
        <w:t xml:space="preserve">scrise </w:t>
      </w:r>
      <w:r>
        <w:rPr>
          <w:rFonts w:ascii="Verdana" w:hAnsi="Verdana" w:cs="Arial"/>
        </w:rPr>
        <w:t xml:space="preserve">pentru cursanții anului II care nu au promovat una sau mai multe discipline, inclusiv cele din pachetele </w:t>
      </w:r>
      <w:r w:rsidR="00C93549">
        <w:rPr>
          <w:rFonts w:ascii="Verdana" w:hAnsi="Verdana" w:cs="Arial"/>
        </w:rPr>
        <w:t xml:space="preserve">de discipline </w:t>
      </w:r>
      <w:r>
        <w:rPr>
          <w:rFonts w:ascii="Verdana" w:hAnsi="Verdana" w:cs="Arial"/>
        </w:rPr>
        <w:t>opționale,</w:t>
      </w:r>
      <w:r w:rsidR="00BA757D">
        <w:rPr>
          <w:rFonts w:ascii="Verdana" w:hAnsi="Verdana" w:cs="Arial"/>
        </w:rPr>
        <w:t xml:space="preserve"> </w:t>
      </w:r>
    </w:p>
    <w:p w14:paraId="4EC81402" w14:textId="77777777" w:rsidR="00E6462A" w:rsidRPr="003C62C6" w:rsidRDefault="00E6462A" w:rsidP="008F3A9B">
      <w:pPr>
        <w:jc w:val="both"/>
        <w:rPr>
          <w:rFonts w:ascii="Verdana" w:hAnsi="Verdana"/>
        </w:rPr>
      </w:pPr>
    </w:p>
    <w:p w14:paraId="6CB4823E" w14:textId="0EA1BEF0" w:rsidR="00C65E90" w:rsidRPr="003C62C6" w:rsidRDefault="00547A20" w:rsidP="008F3A9B">
      <w:pPr>
        <w:jc w:val="both"/>
        <w:rPr>
          <w:rFonts w:ascii="Verdana" w:hAnsi="Verdana"/>
        </w:rPr>
      </w:pPr>
      <w:r w:rsidRPr="003C62C6">
        <w:rPr>
          <w:rFonts w:ascii="Verdana" w:hAnsi="Verdana"/>
        </w:rPr>
        <w:tab/>
      </w:r>
      <w:r w:rsidR="00C65E90" w:rsidRPr="003C62C6">
        <w:rPr>
          <w:rFonts w:ascii="Verdana" w:hAnsi="Verdana"/>
        </w:rPr>
        <w:t xml:space="preserve">Consiliul </w:t>
      </w:r>
      <w:r w:rsidR="00F632CA" w:rsidRPr="003C62C6">
        <w:rPr>
          <w:rFonts w:ascii="Verdana" w:hAnsi="Verdana"/>
        </w:rPr>
        <w:t xml:space="preserve">de Conducere </w:t>
      </w:r>
      <w:r w:rsidRPr="003C62C6">
        <w:rPr>
          <w:rFonts w:ascii="Verdana" w:hAnsi="Verdana"/>
        </w:rPr>
        <w:t xml:space="preserve">al </w:t>
      </w:r>
      <w:r w:rsidR="00F632CA" w:rsidRPr="003C62C6">
        <w:rPr>
          <w:rFonts w:ascii="Verdana" w:hAnsi="Verdana"/>
        </w:rPr>
        <w:t xml:space="preserve">Institutului Naţional pentru Pregătirea şi Perfecţionarea Avocaţilor </w:t>
      </w:r>
    </w:p>
    <w:p w14:paraId="63F5657B" w14:textId="77777777" w:rsidR="00F632CA" w:rsidRPr="003C62C6" w:rsidRDefault="00F632CA" w:rsidP="008F3A9B">
      <w:pPr>
        <w:jc w:val="both"/>
        <w:rPr>
          <w:rFonts w:ascii="Verdana" w:hAnsi="Verdana"/>
        </w:rPr>
      </w:pPr>
    </w:p>
    <w:p w14:paraId="5842FB52" w14:textId="77777777" w:rsidR="00C65E90" w:rsidRPr="003C62C6" w:rsidRDefault="00C65E90" w:rsidP="008F3A9B">
      <w:pPr>
        <w:jc w:val="both"/>
        <w:rPr>
          <w:rFonts w:ascii="Verdana" w:hAnsi="Verdana"/>
        </w:rPr>
      </w:pPr>
    </w:p>
    <w:p w14:paraId="1CB05840" w14:textId="77777777" w:rsidR="00C65E90" w:rsidRPr="003C62C6" w:rsidRDefault="00C65E90" w:rsidP="008F3A9B">
      <w:pPr>
        <w:jc w:val="center"/>
        <w:rPr>
          <w:rFonts w:ascii="Verdana" w:hAnsi="Verdana"/>
          <w:b/>
        </w:rPr>
      </w:pPr>
      <w:r w:rsidRPr="003C62C6">
        <w:rPr>
          <w:rFonts w:ascii="Verdana" w:hAnsi="Verdana"/>
          <w:b/>
        </w:rPr>
        <w:t>HOTĂRĂŞTE:</w:t>
      </w:r>
    </w:p>
    <w:p w14:paraId="34365276" w14:textId="77777777" w:rsidR="00C65E90" w:rsidRPr="003C62C6" w:rsidRDefault="00C65E90" w:rsidP="008F3A9B">
      <w:pPr>
        <w:jc w:val="both"/>
        <w:rPr>
          <w:rFonts w:ascii="Verdana" w:hAnsi="Verdana"/>
        </w:rPr>
      </w:pPr>
    </w:p>
    <w:p w14:paraId="23065016" w14:textId="77777777" w:rsidR="00805970" w:rsidRPr="003C62C6" w:rsidRDefault="00805970" w:rsidP="008F3A9B">
      <w:pPr>
        <w:ind w:firstLine="720"/>
        <w:jc w:val="both"/>
        <w:rPr>
          <w:rFonts w:ascii="Verdana" w:hAnsi="Verdana"/>
          <w:b/>
        </w:rPr>
      </w:pPr>
    </w:p>
    <w:p w14:paraId="180286EA" w14:textId="5E3BA413" w:rsidR="00C93549" w:rsidRDefault="00A95340" w:rsidP="008F3A9B">
      <w:pPr>
        <w:ind w:firstLine="720"/>
        <w:jc w:val="both"/>
        <w:rPr>
          <w:rFonts w:ascii="Verdana" w:hAnsi="Verdana" w:cs="Arial"/>
        </w:rPr>
      </w:pPr>
      <w:r w:rsidRPr="003C62C6">
        <w:rPr>
          <w:rFonts w:ascii="Verdana" w:hAnsi="Verdana"/>
          <w:b/>
        </w:rPr>
        <w:t>Art. 1.</w:t>
      </w:r>
      <w:r w:rsidR="00805970" w:rsidRPr="003C62C6">
        <w:rPr>
          <w:rFonts w:ascii="Verdana" w:hAnsi="Verdana"/>
          <w:b/>
        </w:rPr>
        <w:t xml:space="preserve"> </w:t>
      </w:r>
      <w:r w:rsidR="007222C2" w:rsidRPr="00370BCD">
        <w:rPr>
          <w:rFonts w:ascii="Verdana" w:hAnsi="Verdana"/>
        </w:rPr>
        <w:t>–</w:t>
      </w:r>
      <w:r w:rsidR="00BF3B90" w:rsidRPr="00370BCD">
        <w:rPr>
          <w:rFonts w:ascii="Verdana" w:hAnsi="Verdana"/>
        </w:rPr>
        <w:t xml:space="preserve"> </w:t>
      </w:r>
      <w:r w:rsidR="00C93549">
        <w:rPr>
          <w:rFonts w:ascii="Verdana" w:hAnsi="Verdana"/>
        </w:rPr>
        <w:t xml:space="preserve">Testarea scrisă prevăzută la Art. </w:t>
      </w:r>
      <w:r w:rsidR="00DC7D0E">
        <w:rPr>
          <w:rFonts w:ascii="Verdana" w:hAnsi="Verdana"/>
        </w:rPr>
        <w:t>1 lit. b. (ii)</w:t>
      </w:r>
      <w:r w:rsidR="00C93549">
        <w:rPr>
          <w:rFonts w:ascii="Verdana" w:hAnsi="Verdana"/>
        </w:rPr>
        <w:t xml:space="preserve"> al Hotărârii nr. </w:t>
      </w:r>
      <w:r w:rsidR="00497251">
        <w:rPr>
          <w:rFonts w:ascii="Verdana" w:hAnsi="Verdana"/>
        </w:rPr>
        <w:t>191</w:t>
      </w:r>
      <w:r w:rsidR="00C93549">
        <w:rPr>
          <w:rFonts w:ascii="Verdana" w:hAnsi="Verdana"/>
        </w:rPr>
        <w:t xml:space="preserve">/9-10.09.2021 a Consiliului U.N.B.R. pentru avocații stagiari care nu au promovat examenul de absolvire a I.N.P.P.A. în sesiuni anterioare, nu sunt cursanți ai actualului ciclu al anului II și care figurează înscriși la un pachet de discipline opționale, va fi organizată în intervalul </w:t>
      </w:r>
      <w:r w:rsidR="00C93549" w:rsidRPr="00370BCD">
        <w:rPr>
          <w:rFonts w:ascii="Verdana" w:hAnsi="Verdana" w:cs="Arial"/>
          <w:b/>
        </w:rPr>
        <w:t>16-19 octombrie 2021</w:t>
      </w:r>
      <w:r w:rsidR="00C93549">
        <w:rPr>
          <w:rFonts w:ascii="Verdana" w:hAnsi="Verdana" w:cs="Arial"/>
          <w:b/>
        </w:rPr>
        <w:t xml:space="preserve"> </w:t>
      </w:r>
      <w:r w:rsidR="00C93549">
        <w:rPr>
          <w:rFonts w:ascii="Verdana" w:hAnsi="Verdana" w:cs="Arial"/>
        </w:rPr>
        <w:t>(în același interval cu cel stabilit pentru desfășurarea testării scrise</w:t>
      </w:r>
      <w:r w:rsidR="00C93549" w:rsidRPr="00C93549">
        <w:rPr>
          <w:rFonts w:ascii="Verdana" w:hAnsi="Verdana" w:cs="Arial"/>
        </w:rPr>
        <w:t xml:space="preserve"> pentru</w:t>
      </w:r>
      <w:r w:rsidR="00370BCD" w:rsidRPr="00C93549">
        <w:rPr>
          <w:rFonts w:ascii="Verdana" w:hAnsi="Verdana"/>
        </w:rPr>
        <w:t xml:space="preserve"> </w:t>
      </w:r>
      <w:r w:rsidR="00370BCD">
        <w:rPr>
          <w:rFonts w:ascii="Verdana" w:hAnsi="Verdana"/>
        </w:rPr>
        <w:t>c</w:t>
      </w:r>
      <w:r w:rsidR="00370BCD">
        <w:rPr>
          <w:rFonts w:ascii="Verdana" w:hAnsi="Verdana" w:cs="Arial"/>
        </w:rPr>
        <w:t xml:space="preserve">ursanții </w:t>
      </w:r>
      <w:r w:rsidR="00370BCD" w:rsidRPr="00E72707">
        <w:rPr>
          <w:rFonts w:ascii="Verdana" w:hAnsi="Verdana" w:cs="Arial"/>
        </w:rPr>
        <w:t>anului II</w:t>
      </w:r>
      <w:r w:rsidR="00370BCD">
        <w:rPr>
          <w:rFonts w:ascii="Verdana" w:hAnsi="Verdana" w:cs="Arial"/>
        </w:rPr>
        <w:t xml:space="preserve"> din ciclul de formare 2021, care nu au obținut medie de promovare la una sau mai multe discipline prevăzute în plan</w:t>
      </w:r>
      <w:r w:rsidR="00C93549">
        <w:rPr>
          <w:rFonts w:ascii="Verdana" w:hAnsi="Verdana" w:cs="Arial"/>
        </w:rPr>
        <w:t>ul</w:t>
      </w:r>
      <w:r w:rsidR="00370BCD">
        <w:rPr>
          <w:rFonts w:ascii="Verdana" w:hAnsi="Verdana" w:cs="Arial"/>
        </w:rPr>
        <w:t xml:space="preserve"> de formare </w:t>
      </w:r>
      <w:r w:rsidR="00C93549">
        <w:rPr>
          <w:rFonts w:ascii="Verdana" w:hAnsi="Verdana" w:cs="Arial"/>
        </w:rPr>
        <w:t xml:space="preserve">al </w:t>
      </w:r>
      <w:r w:rsidR="00370BCD">
        <w:rPr>
          <w:rFonts w:ascii="Verdana" w:hAnsi="Verdana" w:cs="Arial"/>
        </w:rPr>
        <w:t>anul</w:t>
      </w:r>
      <w:r w:rsidR="00C93549">
        <w:rPr>
          <w:rFonts w:ascii="Verdana" w:hAnsi="Verdana" w:cs="Arial"/>
        </w:rPr>
        <w:t>ui</w:t>
      </w:r>
      <w:r w:rsidR="00370BCD">
        <w:rPr>
          <w:rFonts w:ascii="Verdana" w:hAnsi="Verdana" w:cs="Arial"/>
        </w:rPr>
        <w:t xml:space="preserve"> II de formare inițială</w:t>
      </w:r>
      <w:r w:rsidR="00C93549">
        <w:rPr>
          <w:rFonts w:ascii="Verdana" w:hAnsi="Verdana" w:cs="Arial"/>
        </w:rPr>
        <w:t>).</w:t>
      </w:r>
    </w:p>
    <w:p w14:paraId="2605C9C1" w14:textId="47D1D5F2" w:rsidR="00AB28BF" w:rsidRDefault="00AB28BF" w:rsidP="00AB28BF">
      <w:pPr>
        <w:ind w:firstLine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408A974B" w14:textId="4B8C9A08" w:rsidR="006C1704" w:rsidRDefault="00370BCD" w:rsidP="00370BCD">
      <w:pPr>
        <w:ind w:firstLine="720"/>
        <w:jc w:val="both"/>
        <w:rPr>
          <w:rFonts w:ascii="Verdana" w:hAnsi="Verdana"/>
        </w:rPr>
      </w:pPr>
      <w:r w:rsidRPr="003C62C6">
        <w:rPr>
          <w:rFonts w:ascii="Verdana" w:hAnsi="Verdana"/>
          <w:b/>
        </w:rPr>
        <w:t xml:space="preserve">Art. </w:t>
      </w:r>
      <w:r>
        <w:rPr>
          <w:rFonts w:ascii="Verdana" w:hAnsi="Verdana"/>
          <w:b/>
        </w:rPr>
        <w:t>2</w:t>
      </w:r>
      <w:r w:rsidRPr="003C62C6">
        <w:rPr>
          <w:rFonts w:ascii="Verdana" w:hAnsi="Verdana"/>
          <w:b/>
        </w:rPr>
        <w:t xml:space="preserve">. </w:t>
      </w:r>
      <w:r w:rsidRPr="00370BCD">
        <w:rPr>
          <w:rFonts w:ascii="Verdana" w:hAnsi="Verdana"/>
        </w:rPr>
        <w:t xml:space="preserve">– </w:t>
      </w:r>
      <w:r w:rsidR="00715022">
        <w:rPr>
          <w:rFonts w:ascii="Verdana" w:hAnsi="Verdana" w:cs="Arial"/>
        </w:rPr>
        <w:t>Înscrierea la testarea scrisă prevăzută la Art. 1 se face, fără plată,  din oficiu, de secretariatul</w:t>
      </w:r>
      <w:r w:rsidR="00715022">
        <w:rPr>
          <w:rFonts w:ascii="Verdana" w:hAnsi="Verdana"/>
        </w:rPr>
        <w:t xml:space="preserve"> structurilor I.N.P.P.A., care va face și p</w:t>
      </w:r>
      <w:r>
        <w:rPr>
          <w:rFonts w:ascii="Verdana" w:hAnsi="Verdana"/>
        </w:rPr>
        <w:t xml:space="preserve">lanificarea </w:t>
      </w:r>
      <w:r w:rsidR="006C1704">
        <w:rPr>
          <w:rFonts w:ascii="Verdana" w:hAnsi="Verdana"/>
        </w:rPr>
        <w:t>testării</w:t>
      </w:r>
      <w:r>
        <w:rPr>
          <w:rFonts w:ascii="Verdana" w:hAnsi="Verdana"/>
        </w:rPr>
        <w:t xml:space="preserve"> la disciplinele </w:t>
      </w:r>
      <w:r w:rsidR="00715022">
        <w:rPr>
          <w:rFonts w:ascii="Verdana" w:hAnsi="Verdana"/>
        </w:rPr>
        <w:t xml:space="preserve">opționale din pachetul la care figurează înscriși avocații stagiari menționați la același articol, </w:t>
      </w:r>
      <w:r w:rsidR="006C1704">
        <w:rPr>
          <w:rFonts w:ascii="Verdana" w:hAnsi="Verdana"/>
        </w:rPr>
        <w:t xml:space="preserve">în limitele calendarului prevăzut la Art. 1, în </w:t>
      </w:r>
      <w:r w:rsidR="006C1704">
        <w:rPr>
          <w:rFonts w:ascii="Verdana" w:hAnsi="Verdana"/>
        </w:rPr>
        <w:lastRenderedPageBreak/>
        <w:t xml:space="preserve">considerarea numărului </w:t>
      </w:r>
      <w:r w:rsidR="00715022">
        <w:rPr>
          <w:rFonts w:ascii="Verdana" w:hAnsi="Verdana"/>
        </w:rPr>
        <w:t xml:space="preserve">respectivilor avocaților stagiari </w:t>
      </w:r>
      <w:r w:rsidR="006C1704">
        <w:rPr>
          <w:rFonts w:ascii="Verdana" w:hAnsi="Verdana"/>
        </w:rPr>
        <w:t xml:space="preserve">și a disponibilității formatorilor de la aceste discipline. </w:t>
      </w:r>
    </w:p>
    <w:p w14:paraId="47C1E3DC" w14:textId="668CCF09" w:rsidR="00370BCD" w:rsidRDefault="00370BCD" w:rsidP="00370BCD">
      <w:pPr>
        <w:ind w:firstLine="720"/>
        <w:jc w:val="both"/>
        <w:rPr>
          <w:rFonts w:ascii="Verdana" w:hAnsi="Verdana"/>
        </w:rPr>
      </w:pPr>
    </w:p>
    <w:p w14:paraId="49A8C944" w14:textId="45119A23" w:rsidR="006C1704" w:rsidRDefault="00001A30" w:rsidP="008F3A9B">
      <w:pPr>
        <w:ind w:firstLine="720"/>
        <w:jc w:val="both"/>
        <w:rPr>
          <w:rFonts w:ascii="Verdana" w:hAnsi="Verdana" w:cs="Arial"/>
        </w:rPr>
      </w:pPr>
      <w:r w:rsidRPr="003C62C6">
        <w:rPr>
          <w:rFonts w:ascii="Verdana" w:hAnsi="Verdana" w:cs="Arial"/>
          <w:b/>
        </w:rPr>
        <w:t xml:space="preserve">Art. </w:t>
      </w:r>
      <w:r w:rsidR="00370BCD">
        <w:rPr>
          <w:rFonts w:ascii="Verdana" w:hAnsi="Verdana" w:cs="Arial"/>
          <w:b/>
        </w:rPr>
        <w:t>3</w:t>
      </w:r>
      <w:r w:rsidRPr="003C62C6">
        <w:rPr>
          <w:rFonts w:ascii="Verdana" w:hAnsi="Verdana" w:cs="Arial"/>
          <w:b/>
        </w:rPr>
        <w:t>.</w:t>
      </w:r>
      <w:r w:rsidRPr="003C62C6">
        <w:rPr>
          <w:rFonts w:ascii="Verdana" w:hAnsi="Verdana" w:cs="Arial"/>
        </w:rPr>
        <w:t xml:space="preserve"> -  </w:t>
      </w:r>
      <w:r w:rsidR="007564B1">
        <w:rPr>
          <w:rFonts w:ascii="Verdana" w:hAnsi="Verdana" w:cs="Arial"/>
        </w:rPr>
        <w:t xml:space="preserve">(1) </w:t>
      </w:r>
      <w:r w:rsidR="00E72707">
        <w:rPr>
          <w:rFonts w:ascii="Verdana" w:hAnsi="Verdana" w:cs="Arial"/>
        </w:rPr>
        <w:t xml:space="preserve">Testarea </w:t>
      </w:r>
      <w:r w:rsidR="007564B1">
        <w:rPr>
          <w:rFonts w:ascii="Verdana" w:hAnsi="Verdana" w:cs="Arial"/>
        </w:rPr>
        <w:t xml:space="preserve">scrisă </w:t>
      </w:r>
      <w:r w:rsidR="00E72707">
        <w:rPr>
          <w:rFonts w:ascii="Verdana" w:hAnsi="Verdana" w:cs="Arial"/>
        </w:rPr>
        <w:t xml:space="preserve">va fi </w:t>
      </w:r>
      <w:r w:rsidR="00BF19B7">
        <w:rPr>
          <w:rFonts w:ascii="Verdana" w:hAnsi="Verdana" w:cs="Arial"/>
        </w:rPr>
        <w:t xml:space="preserve">tip grilă și va fi </w:t>
      </w:r>
      <w:r w:rsidR="00E72707">
        <w:rPr>
          <w:rFonts w:ascii="Verdana" w:hAnsi="Verdana" w:cs="Arial"/>
        </w:rPr>
        <w:t xml:space="preserve">organizată și desfășurată în sistem fizic (față în față), </w:t>
      </w:r>
      <w:r w:rsidR="00370BCD">
        <w:rPr>
          <w:rFonts w:ascii="Verdana" w:hAnsi="Verdana" w:cs="Arial"/>
        </w:rPr>
        <w:t xml:space="preserve">la sediul structurii I.N.P.P.A. la care </w:t>
      </w:r>
      <w:r w:rsidR="00715022">
        <w:rPr>
          <w:rFonts w:ascii="Verdana" w:hAnsi="Verdana" w:cs="Arial"/>
        </w:rPr>
        <w:t xml:space="preserve">figurează înscriși avocații stagiari prevăzuți la Art. 1. </w:t>
      </w:r>
      <w:r w:rsidR="00BF19B7">
        <w:rPr>
          <w:rFonts w:ascii="Verdana" w:hAnsi="Verdana" w:cs="Arial"/>
        </w:rPr>
        <w:t xml:space="preserve">Tematica de testare este cea cuprinsă în programa analitică a disciplinelor </w:t>
      </w:r>
      <w:r w:rsidR="00715022">
        <w:rPr>
          <w:rFonts w:ascii="Verdana" w:hAnsi="Verdana" w:cs="Arial"/>
        </w:rPr>
        <w:t>opționale</w:t>
      </w:r>
      <w:r w:rsidR="00BF19B7">
        <w:rPr>
          <w:rFonts w:ascii="Verdana" w:hAnsi="Verdana" w:cs="Arial"/>
        </w:rPr>
        <w:t>, publicate pe pagina web a I.N.P.P.A.</w:t>
      </w:r>
      <w:r w:rsidR="00370BCD">
        <w:rPr>
          <w:rFonts w:ascii="Verdana" w:hAnsi="Verdana" w:cs="Arial"/>
        </w:rPr>
        <w:t xml:space="preserve"> </w:t>
      </w:r>
      <w:r w:rsidR="006C1704">
        <w:rPr>
          <w:rFonts w:ascii="Verdana" w:hAnsi="Verdana" w:cs="Arial"/>
        </w:rPr>
        <w:t xml:space="preserve">Rezultatele obținute de </w:t>
      </w:r>
      <w:r w:rsidR="00715022">
        <w:rPr>
          <w:rFonts w:ascii="Verdana" w:hAnsi="Verdana" w:cs="Arial"/>
        </w:rPr>
        <w:t xml:space="preserve">avocații stagiari </w:t>
      </w:r>
      <w:r w:rsidR="006C1704">
        <w:rPr>
          <w:rFonts w:ascii="Verdana" w:hAnsi="Verdana" w:cs="Arial"/>
        </w:rPr>
        <w:t>participanți la testarea scrisă se comunică acestora în termen de 5 zile de la data finalizării perioadei de testare.</w:t>
      </w:r>
    </w:p>
    <w:p w14:paraId="547B8D84" w14:textId="60EE8372" w:rsidR="007564B1" w:rsidRDefault="007564B1" w:rsidP="007564B1">
      <w:pPr>
        <w:ind w:firstLine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(2) Testarea prevăzută la alin. (1) se notează cu calificativul „Admis/Respins”. Potrivit prevederilor privind organizarea și desfășurarea examenului de absolvire a I.N.P.P.A., lucrarea scrisă va cuprinde 15 întrebări cu caracter practic-aplicativ la fiecare disciplină opțională iar pentru fiecare întrebare soluționată corect se acordă un punct. Pentru obținerea calificativului „Admis” este necesară realizarea unui punctaj total de 18 puncte.  </w:t>
      </w:r>
    </w:p>
    <w:p w14:paraId="48262AD0" w14:textId="77777777" w:rsidR="006C1704" w:rsidRDefault="006C1704" w:rsidP="008F3A9B">
      <w:pPr>
        <w:ind w:firstLine="720"/>
        <w:jc w:val="both"/>
        <w:rPr>
          <w:rFonts w:ascii="Verdana" w:hAnsi="Verdana" w:cs="Arial"/>
        </w:rPr>
      </w:pPr>
    </w:p>
    <w:p w14:paraId="29AA4A0A" w14:textId="186C8A9F" w:rsidR="00001A30" w:rsidRDefault="00BF19B7" w:rsidP="008F3A9B">
      <w:pPr>
        <w:ind w:firstLine="720"/>
        <w:jc w:val="both"/>
        <w:rPr>
          <w:rFonts w:ascii="Verdana" w:hAnsi="Verdana" w:cs="Arial"/>
        </w:rPr>
      </w:pPr>
      <w:r w:rsidRPr="003C62C6">
        <w:rPr>
          <w:rFonts w:ascii="Verdana" w:hAnsi="Verdana" w:cs="Arial"/>
          <w:b/>
        </w:rPr>
        <w:t xml:space="preserve">Art. </w:t>
      </w:r>
      <w:r>
        <w:rPr>
          <w:rFonts w:ascii="Verdana" w:hAnsi="Verdana" w:cs="Arial"/>
          <w:b/>
        </w:rPr>
        <w:t>5</w:t>
      </w:r>
      <w:r w:rsidRPr="003C62C6">
        <w:rPr>
          <w:rFonts w:ascii="Verdana" w:hAnsi="Verdana" w:cs="Arial"/>
          <w:b/>
        </w:rPr>
        <w:t>.</w:t>
      </w:r>
      <w:r w:rsidRPr="003C62C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–</w:t>
      </w:r>
      <w:r w:rsidRPr="003C62C6">
        <w:rPr>
          <w:rFonts w:ascii="Verdana" w:hAnsi="Verdana" w:cs="Arial"/>
        </w:rPr>
        <w:t xml:space="preserve"> </w:t>
      </w:r>
      <w:r w:rsidR="006C1704">
        <w:rPr>
          <w:rFonts w:ascii="Verdana" w:hAnsi="Verdana" w:cs="Arial"/>
        </w:rPr>
        <w:t xml:space="preserve"> </w:t>
      </w:r>
      <w:r w:rsidR="00FB2F0C">
        <w:rPr>
          <w:rFonts w:ascii="Verdana" w:hAnsi="Verdana" w:cs="Arial"/>
        </w:rPr>
        <w:t>Ne</w:t>
      </w:r>
      <w:r w:rsidR="00FB2F0C" w:rsidRPr="00E72707">
        <w:rPr>
          <w:rFonts w:ascii="Verdana" w:hAnsi="Verdana" w:cs="Arial"/>
        </w:rPr>
        <w:t>prezentarea la testare</w:t>
      </w:r>
      <w:r w:rsidR="00FB2F0C">
        <w:rPr>
          <w:rFonts w:ascii="Verdana" w:hAnsi="Verdana" w:cs="Arial"/>
        </w:rPr>
        <w:t>a scrisă</w:t>
      </w:r>
      <w:r w:rsidR="00FB2F0C" w:rsidRPr="00E72707">
        <w:rPr>
          <w:rFonts w:ascii="Verdana" w:hAnsi="Verdana" w:cs="Arial"/>
        </w:rPr>
        <w:t xml:space="preserve"> </w:t>
      </w:r>
      <w:r w:rsidR="00715022">
        <w:rPr>
          <w:rFonts w:ascii="Verdana" w:hAnsi="Verdana" w:cs="Arial"/>
        </w:rPr>
        <w:t xml:space="preserve">prevăzută prin prezenta hotărâre </w:t>
      </w:r>
      <w:r w:rsidR="000B1081">
        <w:rPr>
          <w:rFonts w:ascii="Verdana" w:hAnsi="Verdana" w:cs="Arial"/>
        </w:rPr>
        <w:t>ori</w:t>
      </w:r>
      <w:r w:rsidR="00FB2F0C" w:rsidRPr="00E72707">
        <w:rPr>
          <w:rFonts w:ascii="Verdana" w:hAnsi="Verdana" w:cs="Arial"/>
        </w:rPr>
        <w:t xml:space="preserve"> nepromovarea </w:t>
      </w:r>
      <w:r w:rsidR="00FB2F0C">
        <w:rPr>
          <w:rFonts w:ascii="Verdana" w:hAnsi="Verdana" w:cs="Arial"/>
        </w:rPr>
        <w:t>acesteia</w:t>
      </w:r>
      <w:r w:rsidR="00FB2F0C" w:rsidRPr="00E72707">
        <w:rPr>
          <w:rFonts w:ascii="Verdana" w:hAnsi="Verdana" w:cs="Arial"/>
        </w:rPr>
        <w:t xml:space="preserve"> </w:t>
      </w:r>
      <w:r w:rsidR="00715022">
        <w:rPr>
          <w:rFonts w:ascii="Verdana" w:hAnsi="Verdana" w:cs="Arial"/>
        </w:rPr>
        <w:t>echivalează cu nepromovarea Probei scrise 2 a examenului de absolvire a I.N.P.P.A. - sesiunea noiembrie 2021.</w:t>
      </w:r>
      <w:r>
        <w:rPr>
          <w:rFonts w:ascii="Verdana" w:hAnsi="Verdana" w:cs="Arial"/>
        </w:rPr>
        <w:t xml:space="preserve"> </w:t>
      </w:r>
    </w:p>
    <w:p w14:paraId="04E7358E" w14:textId="77777777" w:rsidR="003C62C6" w:rsidRDefault="003C62C6" w:rsidP="00F82CF9">
      <w:pPr>
        <w:jc w:val="both"/>
        <w:rPr>
          <w:rFonts w:ascii="Verdana" w:hAnsi="Verdana" w:cs="Arial"/>
        </w:rPr>
      </w:pPr>
    </w:p>
    <w:p w14:paraId="278FB012" w14:textId="020657FC" w:rsidR="008F3A9B" w:rsidRPr="003C62C6" w:rsidRDefault="008F3A9B" w:rsidP="008F3A9B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</w:rPr>
      </w:pPr>
      <w:r w:rsidRPr="003C62C6">
        <w:rPr>
          <w:rFonts w:ascii="Verdana" w:hAnsi="Verdana" w:cs="Arial"/>
          <w:b/>
          <w:bCs/>
        </w:rPr>
        <w:t xml:space="preserve">Art. </w:t>
      </w:r>
      <w:r w:rsidR="00BF19B7">
        <w:rPr>
          <w:rFonts w:ascii="Verdana" w:hAnsi="Verdana" w:cs="Arial"/>
          <w:b/>
          <w:bCs/>
        </w:rPr>
        <w:t>6</w:t>
      </w:r>
      <w:r w:rsidRPr="003C62C6">
        <w:rPr>
          <w:rFonts w:ascii="Verdana" w:hAnsi="Verdana" w:cs="Arial"/>
          <w:b/>
          <w:bCs/>
        </w:rPr>
        <w:t>.</w:t>
      </w:r>
      <w:r w:rsidRPr="003C62C6">
        <w:rPr>
          <w:rFonts w:ascii="Verdana" w:hAnsi="Verdana" w:cs="Arial"/>
        </w:rPr>
        <w:t xml:space="preserve">  - Prezenta hotărâre </w:t>
      </w:r>
      <w:r w:rsidR="00C64954">
        <w:rPr>
          <w:rFonts w:ascii="Verdana" w:hAnsi="Verdana" w:cs="Arial"/>
        </w:rPr>
        <w:t xml:space="preserve">se comunică </w:t>
      </w:r>
      <w:r w:rsidR="009528A3">
        <w:rPr>
          <w:rFonts w:ascii="Verdana" w:hAnsi="Verdana" w:cs="Arial"/>
        </w:rPr>
        <w:t>tuturor structurilor</w:t>
      </w:r>
      <w:r w:rsidR="00C64954" w:rsidRPr="003C62C6">
        <w:rPr>
          <w:rFonts w:ascii="Verdana" w:hAnsi="Verdana" w:cs="Arial"/>
        </w:rPr>
        <w:t xml:space="preserve"> teritoriale ale </w:t>
      </w:r>
      <w:r w:rsidR="00C64954">
        <w:rPr>
          <w:rFonts w:ascii="Verdana" w:hAnsi="Verdana" w:cs="Arial"/>
        </w:rPr>
        <w:t>I.N.P.P.A.</w:t>
      </w:r>
      <w:r w:rsidR="00BF19B7">
        <w:rPr>
          <w:rFonts w:ascii="Verdana" w:hAnsi="Verdana" w:cs="Arial"/>
        </w:rPr>
        <w:t>, care o vor comunica cursanților proprii,</w:t>
      </w:r>
      <w:r w:rsidR="00C64954" w:rsidRPr="003C62C6">
        <w:rPr>
          <w:rFonts w:ascii="Verdana" w:hAnsi="Verdana" w:cs="Arial"/>
        </w:rPr>
        <w:t xml:space="preserve"> </w:t>
      </w:r>
      <w:r w:rsidR="00BF19B7">
        <w:rPr>
          <w:rFonts w:ascii="Verdana" w:hAnsi="Verdana" w:cs="Arial"/>
        </w:rPr>
        <w:t>și publicată pe pagina web a I.N.P.P.A.</w:t>
      </w:r>
      <w:r w:rsidRPr="003C62C6">
        <w:rPr>
          <w:rFonts w:ascii="Verdana" w:hAnsi="Verdana" w:cs="Arial"/>
        </w:rPr>
        <w:t xml:space="preserve"> – </w:t>
      </w:r>
      <w:hyperlink r:id="rId7" w:history="1">
        <w:r w:rsidR="00B14C57" w:rsidRPr="00031CF0">
          <w:rPr>
            <w:rStyle w:val="Hyperlink"/>
            <w:rFonts w:ascii="Verdana" w:hAnsi="Verdana" w:cs="Arial"/>
          </w:rPr>
          <w:t>www.inppa.ro</w:t>
        </w:r>
      </w:hyperlink>
      <w:r w:rsidRPr="003C62C6">
        <w:rPr>
          <w:rFonts w:ascii="Verdana" w:hAnsi="Verdana" w:cs="Arial"/>
        </w:rPr>
        <w:t xml:space="preserve">. </w:t>
      </w:r>
    </w:p>
    <w:p w14:paraId="4E626201" w14:textId="77777777" w:rsidR="008F3A9B" w:rsidRPr="003C62C6" w:rsidRDefault="008F3A9B" w:rsidP="008F3A9B">
      <w:pPr>
        <w:rPr>
          <w:rFonts w:ascii="Verdana" w:hAnsi="Verdana" w:cs="Arial"/>
          <w:sz w:val="16"/>
          <w:szCs w:val="16"/>
        </w:rPr>
      </w:pPr>
    </w:p>
    <w:p w14:paraId="27893886" w14:textId="77777777" w:rsidR="00C65E90" w:rsidRPr="003C62C6" w:rsidRDefault="00C65E90" w:rsidP="008F3A9B">
      <w:pPr>
        <w:ind w:firstLine="720"/>
        <w:jc w:val="center"/>
        <w:rPr>
          <w:rFonts w:ascii="Verdana" w:hAnsi="Verdana"/>
        </w:rPr>
      </w:pPr>
    </w:p>
    <w:p w14:paraId="757F9A08" w14:textId="5BB145F2" w:rsidR="00EB1D3A" w:rsidRPr="00C64954" w:rsidRDefault="005202EE" w:rsidP="00906473">
      <w:pPr>
        <w:jc w:val="center"/>
        <w:rPr>
          <w:rFonts w:ascii="Verdana" w:hAnsi="Verdana" w:cs="Tahoma"/>
          <w:b/>
          <w:bCs/>
        </w:rPr>
      </w:pPr>
      <w:r w:rsidRPr="003C62C6">
        <w:rPr>
          <w:rFonts w:ascii="Verdana" w:hAnsi="Verdana" w:cs="Arial"/>
          <w:b/>
          <w:bCs/>
        </w:rPr>
        <w:t xml:space="preserve">CONSILIUL DE CONDUCERE AL </w:t>
      </w:r>
      <w:r w:rsidR="00605A96">
        <w:rPr>
          <w:rFonts w:ascii="Verdana" w:hAnsi="Verdana" w:cs="Arial"/>
          <w:b/>
          <w:bCs/>
        </w:rPr>
        <w:t>I.N.P.P.A.</w:t>
      </w:r>
    </w:p>
    <w:sectPr w:rsidR="00EB1D3A" w:rsidRPr="00C64954" w:rsidSect="00424F48">
      <w:footerReference w:type="even" r:id="rId8"/>
      <w:footerReference w:type="default" r:id="rId9"/>
      <w:pgSz w:w="11909" w:h="16834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25E6" w14:textId="77777777" w:rsidR="002B0907" w:rsidRDefault="002B0907">
      <w:r>
        <w:separator/>
      </w:r>
    </w:p>
  </w:endnote>
  <w:endnote w:type="continuationSeparator" w:id="0">
    <w:p w14:paraId="77FC8B54" w14:textId="77777777" w:rsidR="002B0907" w:rsidRDefault="002B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AA9A" w14:textId="77777777" w:rsidR="00A26838" w:rsidRDefault="00A26838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09DA7F" w14:textId="77777777" w:rsidR="00A26838" w:rsidRDefault="00A26838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9C3E" w14:textId="236B9131" w:rsidR="00A26838" w:rsidRDefault="00A26838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D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8EAFFF" w14:textId="77777777" w:rsidR="00A26838" w:rsidRDefault="00A26838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9314" w14:textId="77777777" w:rsidR="002B0907" w:rsidRDefault="002B0907">
      <w:r>
        <w:separator/>
      </w:r>
    </w:p>
  </w:footnote>
  <w:footnote w:type="continuationSeparator" w:id="0">
    <w:p w14:paraId="4833BAF7" w14:textId="77777777" w:rsidR="002B0907" w:rsidRDefault="002B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9B8"/>
    <w:multiLevelType w:val="hybridMultilevel"/>
    <w:tmpl w:val="E6EC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5C48"/>
    <w:multiLevelType w:val="multilevel"/>
    <w:tmpl w:val="97E8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00980"/>
    <w:multiLevelType w:val="hybridMultilevel"/>
    <w:tmpl w:val="553E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01D6F"/>
    <w:multiLevelType w:val="hybridMultilevel"/>
    <w:tmpl w:val="C590D470"/>
    <w:lvl w:ilvl="0" w:tplc="6D0CE730">
      <w:start w:val="23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E1BAC"/>
    <w:multiLevelType w:val="hybridMultilevel"/>
    <w:tmpl w:val="8516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4191"/>
    <w:multiLevelType w:val="hybridMultilevel"/>
    <w:tmpl w:val="B2A29DEC"/>
    <w:lvl w:ilvl="0" w:tplc="61848638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B09"/>
    <w:multiLevelType w:val="multilevel"/>
    <w:tmpl w:val="5AB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73DFF"/>
    <w:multiLevelType w:val="hybridMultilevel"/>
    <w:tmpl w:val="17B492EC"/>
    <w:lvl w:ilvl="0" w:tplc="F062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94DAA"/>
    <w:multiLevelType w:val="hybridMultilevel"/>
    <w:tmpl w:val="082CCCBC"/>
    <w:lvl w:ilvl="0" w:tplc="6534E9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16BFC"/>
    <w:multiLevelType w:val="hybridMultilevel"/>
    <w:tmpl w:val="EE12D3C6"/>
    <w:lvl w:ilvl="0" w:tplc="B0EE47E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7609DC"/>
    <w:multiLevelType w:val="hybridMultilevel"/>
    <w:tmpl w:val="614AB278"/>
    <w:lvl w:ilvl="0" w:tplc="A830B14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9256D4"/>
    <w:multiLevelType w:val="hybridMultilevel"/>
    <w:tmpl w:val="BAD2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B68E4"/>
    <w:multiLevelType w:val="hybridMultilevel"/>
    <w:tmpl w:val="3436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46F07"/>
    <w:multiLevelType w:val="hybridMultilevel"/>
    <w:tmpl w:val="868AFF62"/>
    <w:lvl w:ilvl="0" w:tplc="D390C43E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6E75264"/>
    <w:multiLevelType w:val="hybridMultilevel"/>
    <w:tmpl w:val="744AA700"/>
    <w:lvl w:ilvl="0" w:tplc="720A7CD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AB4CBF"/>
    <w:multiLevelType w:val="hybridMultilevel"/>
    <w:tmpl w:val="63B23556"/>
    <w:lvl w:ilvl="0" w:tplc="03AAD7EA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765058"/>
    <w:multiLevelType w:val="hybridMultilevel"/>
    <w:tmpl w:val="1EF60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45FA0"/>
    <w:multiLevelType w:val="hybridMultilevel"/>
    <w:tmpl w:val="F952662A"/>
    <w:lvl w:ilvl="0" w:tplc="995032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40221F"/>
    <w:multiLevelType w:val="multilevel"/>
    <w:tmpl w:val="90C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4000F3"/>
    <w:multiLevelType w:val="hybridMultilevel"/>
    <w:tmpl w:val="0B96C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DD6384"/>
    <w:multiLevelType w:val="hybridMultilevel"/>
    <w:tmpl w:val="046C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B06A1"/>
    <w:multiLevelType w:val="multilevel"/>
    <w:tmpl w:val="9CCA898C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0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4320" w:hanging="360"/>
      </w:pPr>
      <w:rPr>
        <w:rFonts w:hint="default"/>
        <w:b w:val="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BA28B8"/>
    <w:multiLevelType w:val="hybridMultilevel"/>
    <w:tmpl w:val="C7663E74"/>
    <w:lvl w:ilvl="0" w:tplc="0A8CE4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17"/>
  </w:num>
  <w:num w:numId="6">
    <w:abstractNumId w:val="22"/>
  </w:num>
  <w:num w:numId="7">
    <w:abstractNumId w:val="18"/>
  </w:num>
  <w:num w:numId="8">
    <w:abstractNumId w:val="6"/>
  </w:num>
  <w:num w:numId="9">
    <w:abstractNumId w:val="1"/>
  </w:num>
  <w:num w:numId="10">
    <w:abstractNumId w:val="20"/>
  </w:num>
  <w:num w:numId="11">
    <w:abstractNumId w:val="21"/>
  </w:num>
  <w:num w:numId="12">
    <w:abstractNumId w:val="10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1"/>
  </w:num>
  <w:num w:numId="18">
    <w:abstractNumId w:val="14"/>
  </w:num>
  <w:num w:numId="19">
    <w:abstractNumId w:val="4"/>
  </w:num>
  <w:num w:numId="20">
    <w:abstractNumId w:val="13"/>
  </w:num>
  <w:num w:numId="21">
    <w:abstractNumId w:val="19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01A30"/>
    <w:rsid w:val="000215DA"/>
    <w:rsid w:val="00065DA8"/>
    <w:rsid w:val="00083AC2"/>
    <w:rsid w:val="000A49B0"/>
    <w:rsid w:val="000A4FFC"/>
    <w:rsid w:val="000B1081"/>
    <w:rsid w:val="000C7DF3"/>
    <w:rsid w:val="000D1FC9"/>
    <w:rsid w:val="000D3545"/>
    <w:rsid w:val="001021E8"/>
    <w:rsid w:val="00144DC9"/>
    <w:rsid w:val="00160BFE"/>
    <w:rsid w:val="00194F05"/>
    <w:rsid w:val="001A277B"/>
    <w:rsid w:val="001A2C6C"/>
    <w:rsid w:val="001C61FC"/>
    <w:rsid w:val="001D2D97"/>
    <w:rsid w:val="001E2621"/>
    <w:rsid w:val="001F75EA"/>
    <w:rsid w:val="00204D14"/>
    <w:rsid w:val="00240FC9"/>
    <w:rsid w:val="0026256A"/>
    <w:rsid w:val="0028733A"/>
    <w:rsid w:val="00290F5A"/>
    <w:rsid w:val="002B0907"/>
    <w:rsid w:val="002E7BB9"/>
    <w:rsid w:val="0033333E"/>
    <w:rsid w:val="00352C1C"/>
    <w:rsid w:val="00370BCD"/>
    <w:rsid w:val="00383ABB"/>
    <w:rsid w:val="003918D8"/>
    <w:rsid w:val="003C62C6"/>
    <w:rsid w:val="003E4C73"/>
    <w:rsid w:val="00413ED2"/>
    <w:rsid w:val="00424200"/>
    <w:rsid w:val="00424F48"/>
    <w:rsid w:val="00424F71"/>
    <w:rsid w:val="00462C18"/>
    <w:rsid w:val="0046447A"/>
    <w:rsid w:val="00466422"/>
    <w:rsid w:val="0046781E"/>
    <w:rsid w:val="00476AA1"/>
    <w:rsid w:val="004852BF"/>
    <w:rsid w:val="00497251"/>
    <w:rsid w:val="004A5A2B"/>
    <w:rsid w:val="004B62C7"/>
    <w:rsid w:val="004B7B1D"/>
    <w:rsid w:val="004E4B05"/>
    <w:rsid w:val="00506EE6"/>
    <w:rsid w:val="005202EE"/>
    <w:rsid w:val="005455AE"/>
    <w:rsid w:val="00547A20"/>
    <w:rsid w:val="00556608"/>
    <w:rsid w:val="0055768D"/>
    <w:rsid w:val="005620D9"/>
    <w:rsid w:val="005666E5"/>
    <w:rsid w:val="0057163E"/>
    <w:rsid w:val="00571DCB"/>
    <w:rsid w:val="00581BA3"/>
    <w:rsid w:val="0059059A"/>
    <w:rsid w:val="005B7B0C"/>
    <w:rsid w:val="005D5BC5"/>
    <w:rsid w:val="005E10C3"/>
    <w:rsid w:val="005F21C2"/>
    <w:rsid w:val="005F3F18"/>
    <w:rsid w:val="005F4238"/>
    <w:rsid w:val="00602A03"/>
    <w:rsid w:val="00605A96"/>
    <w:rsid w:val="0060650F"/>
    <w:rsid w:val="006248BB"/>
    <w:rsid w:val="006375F1"/>
    <w:rsid w:val="0068716F"/>
    <w:rsid w:val="00687362"/>
    <w:rsid w:val="00687C8D"/>
    <w:rsid w:val="006B73C7"/>
    <w:rsid w:val="006C1704"/>
    <w:rsid w:val="006D627A"/>
    <w:rsid w:val="006E2CEE"/>
    <w:rsid w:val="00711176"/>
    <w:rsid w:val="007127E9"/>
    <w:rsid w:val="00713BB7"/>
    <w:rsid w:val="00715022"/>
    <w:rsid w:val="00716430"/>
    <w:rsid w:val="007222C2"/>
    <w:rsid w:val="00732DA8"/>
    <w:rsid w:val="007564B1"/>
    <w:rsid w:val="007657BE"/>
    <w:rsid w:val="00786537"/>
    <w:rsid w:val="00786B83"/>
    <w:rsid w:val="007A61A4"/>
    <w:rsid w:val="007A63CC"/>
    <w:rsid w:val="007B1896"/>
    <w:rsid w:val="007C239A"/>
    <w:rsid w:val="007D29D1"/>
    <w:rsid w:val="007D3594"/>
    <w:rsid w:val="007D5F78"/>
    <w:rsid w:val="007E0FB8"/>
    <w:rsid w:val="007E3E37"/>
    <w:rsid w:val="007F04FB"/>
    <w:rsid w:val="007F4398"/>
    <w:rsid w:val="00805970"/>
    <w:rsid w:val="008329BE"/>
    <w:rsid w:val="00853571"/>
    <w:rsid w:val="00857D99"/>
    <w:rsid w:val="008771D5"/>
    <w:rsid w:val="008773EA"/>
    <w:rsid w:val="008F3A9B"/>
    <w:rsid w:val="00902E4A"/>
    <w:rsid w:val="00906473"/>
    <w:rsid w:val="0094557F"/>
    <w:rsid w:val="009528A3"/>
    <w:rsid w:val="009739E5"/>
    <w:rsid w:val="009B4AAD"/>
    <w:rsid w:val="009E63DB"/>
    <w:rsid w:val="00A012F4"/>
    <w:rsid w:val="00A06B36"/>
    <w:rsid w:val="00A26838"/>
    <w:rsid w:val="00A411A1"/>
    <w:rsid w:val="00A52674"/>
    <w:rsid w:val="00A75841"/>
    <w:rsid w:val="00A761A8"/>
    <w:rsid w:val="00A95340"/>
    <w:rsid w:val="00A9756D"/>
    <w:rsid w:val="00AA0A1A"/>
    <w:rsid w:val="00AA0E64"/>
    <w:rsid w:val="00AB28BF"/>
    <w:rsid w:val="00AB42CD"/>
    <w:rsid w:val="00AB7CBD"/>
    <w:rsid w:val="00AC622C"/>
    <w:rsid w:val="00AD0EA2"/>
    <w:rsid w:val="00B14C57"/>
    <w:rsid w:val="00B60671"/>
    <w:rsid w:val="00B71224"/>
    <w:rsid w:val="00B918AF"/>
    <w:rsid w:val="00B95803"/>
    <w:rsid w:val="00BA24F7"/>
    <w:rsid w:val="00BA4EC3"/>
    <w:rsid w:val="00BA757D"/>
    <w:rsid w:val="00BB7C16"/>
    <w:rsid w:val="00BC65C4"/>
    <w:rsid w:val="00BF19B7"/>
    <w:rsid w:val="00BF3B90"/>
    <w:rsid w:val="00C07B80"/>
    <w:rsid w:val="00C21290"/>
    <w:rsid w:val="00C219DF"/>
    <w:rsid w:val="00C25640"/>
    <w:rsid w:val="00C36644"/>
    <w:rsid w:val="00C53A7C"/>
    <w:rsid w:val="00C64954"/>
    <w:rsid w:val="00C65E90"/>
    <w:rsid w:val="00C74A73"/>
    <w:rsid w:val="00C84754"/>
    <w:rsid w:val="00C93549"/>
    <w:rsid w:val="00CB5A80"/>
    <w:rsid w:val="00CD587B"/>
    <w:rsid w:val="00CE59DF"/>
    <w:rsid w:val="00D11B92"/>
    <w:rsid w:val="00D4648C"/>
    <w:rsid w:val="00D66254"/>
    <w:rsid w:val="00D80E08"/>
    <w:rsid w:val="00DA1C59"/>
    <w:rsid w:val="00DB7E95"/>
    <w:rsid w:val="00DC2D8E"/>
    <w:rsid w:val="00DC7D0E"/>
    <w:rsid w:val="00DE1F11"/>
    <w:rsid w:val="00DE52F1"/>
    <w:rsid w:val="00E1137E"/>
    <w:rsid w:val="00E45DAC"/>
    <w:rsid w:val="00E555E0"/>
    <w:rsid w:val="00E6462A"/>
    <w:rsid w:val="00E72707"/>
    <w:rsid w:val="00E72989"/>
    <w:rsid w:val="00E87A15"/>
    <w:rsid w:val="00EA5F61"/>
    <w:rsid w:val="00EB1D3A"/>
    <w:rsid w:val="00EB2DAD"/>
    <w:rsid w:val="00EB4426"/>
    <w:rsid w:val="00EC136E"/>
    <w:rsid w:val="00EC4154"/>
    <w:rsid w:val="00EC77A5"/>
    <w:rsid w:val="00EE4F73"/>
    <w:rsid w:val="00EE5B1C"/>
    <w:rsid w:val="00F007C6"/>
    <w:rsid w:val="00F1600C"/>
    <w:rsid w:val="00F4225A"/>
    <w:rsid w:val="00F43BF9"/>
    <w:rsid w:val="00F47F04"/>
    <w:rsid w:val="00F61FD9"/>
    <w:rsid w:val="00F632CA"/>
    <w:rsid w:val="00F72C40"/>
    <w:rsid w:val="00F82CF9"/>
    <w:rsid w:val="00F83CA2"/>
    <w:rsid w:val="00F97379"/>
    <w:rsid w:val="00FB2F0C"/>
    <w:rsid w:val="00FC695D"/>
    <w:rsid w:val="00FE5098"/>
    <w:rsid w:val="00FF0950"/>
    <w:rsid w:val="00FF3716"/>
    <w:rsid w:val="00FF5FFA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94617"/>
  <w15:chartTrackingRefBased/>
  <w15:docId w15:val="{90A58235-FC86-40D2-B596-C0731433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765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57B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B1D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pp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573</Words>
  <Characters>3435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4001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Veronica Morecut</dc:creator>
  <cp:keywords/>
  <dc:description/>
  <cp:lastModifiedBy>Sandu Gherasim</cp:lastModifiedBy>
  <cp:revision>9</cp:revision>
  <cp:lastPrinted>2021-09-16T13:29:00Z</cp:lastPrinted>
  <dcterms:created xsi:type="dcterms:W3CDTF">2021-09-09T12:55:00Z</dcterms:created>
  <dcterms:modified xsi:type="dcterms:W3CDTF">2021-09-16T13:31:00Z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