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9387" w14:textId="090875BB" w:rsidR="001D2D97" w:rsidRPr="00FF5FFA" w:rsidRDefault="001D2D97" w:rsidP="00C65E90">
      <w:pPr>
        <w:pStyle w:val="Title"/>
        <w:rPr>
          <w:rFonts w:ascii="Arial Black" w:hAnsi="Arial Black" w:cs="Tahoma"/>
          <w:sz w:val="32"/>
          <w:szCs w:val="32"/>
        </w:rPr>
      </w:pPr>
      <w:r w:rsidRPr="00FF5FFA">
        <w:rPr>
          <w:rFonts w:ascii="Arial Black" w:hAnsi="Arial Black" w:cs="Tahoma"/>
          <w:sz w:val="32"/>
          <w:szCs w:val="32"/>
        </w:rPr>
        <w:t xml:space="preserve">Institutul </w:t>
      </w:r>
      <w:r w:rsidR="00F834B3" w:rsidRPr="00FF5FFA">
        <w:rPr>
          <w:rFonts w:ascii="Arial Black" w:hAnsi="Arial Black" w:cs="Tahoma"/>
          <w:sz w:val="32"/>
          <w:szCs w:val="32"/>
        </w:rPr>
        <w:t>Național</w:t>
      </w:r>
      <w:r w:rsidRPr="00FF5FFA">
        <w:rPr>
          <w:rFonts w:ascii="Arial Black" w:hAnsi="Arial Black" w:cs="Tahoma"/>
          <w:sz w:val="32"/>
          <w:szCs w:val="32"/>
        </w:rPr>
        <w:t xml:space="preserve"> pentru </w:t>
      </w:r>
    </w:p>
    <w:p w14:paraId="6EDA7117" w14:textId="0162AEFE" w:rsidR="00C65E90" w:rsidRPr="00FF5FFA" w:rsidRDefault="001D2D97" w:rsidP="00C65E90">
      <w:pPr>
        <w:pStyle w:val="Title"/>
        <w:rPr>
          <w:rFonts w:ascii="Arial Black" w:hAnsi="Arial Black" w:cs="Tahoma"/>
          <w:sz w:val="32"/>
          <w:szCs w:val="32"/>
        </w:rPr>
      </w:pPr>
      <w:r w:rsidRPr="00FF5FFA">
        <w:rPr>
          <w:rFonts w:ascii="Arial Black" w:hAnsi="Arial Black" w:cs="Tahoma"/>
          <w:sz w:val="32"/>
          <w:szCs w:val="32"/>
        </w:rPr>
        <w:t xml:space="preserve">Pregătirea </w:t>
      </w:r>
      <w:r w:rsidR="009A7D7B" w:rsidRPr="00FF5FFA">
        <w:rPr>
          <w:rFonts w:ascii="Arial Black" w:hAnsi="Arial Black" w:cs="Tahoma"/>
          <w:sz w:val="32"/>
          <w:szCs w:val="32"/>
        </w:rPr>
        <w:t>și</w:t>
      </w:r>
      <w:r w:rsidRPr="00FF5FFA">
        <w:rPr>
          <w:rFonts w:ascii="Arial Black" w:hAnsi="Arial Black" w:cs="Tahoma"/>
          <w:sz w:val="32"/>
          <w:szCs w:val="32"/>
        </w:rPr>
        <w:t xml:space="preserve"> </w:t>
      </w:r>
      <w:r w:rsidR="009A7D7B" w:rsidRPr="00FF5FFA">
        <w:rPr>
          <w:rFonts w:ascii="Arial Black" w:hAnsi="Arial Black" w:cs="Tahoma"/>
          <w:sz w:val="32"/>
          <w:szCs w:val="32"/>
        </w:rPr>
        <w:t>Perfecționarea</w:t>
      </w:r>
      <w:r w:rsidRPr="00FF5FFA">
        <w:rPr>
          <w:rFonts w:ascii="Arial Black" w:hAnsi="Arial Black" w:cs="Tahoma"/>
          <w:sz w:val="32"/>
          <w:szCs w:val="32"/>
        </w:rPr>
        <w:t xml:space="preserve"> </w:t>
      </w:r>
      <w:r w:rsidR="009A7D7B" w:rsidRPr="00FF5FFA">
        <w:rPr>
          <w:rFonts w:ascii="Arial Black" w:hAnsi="Arial Black" w:cs="Tahoma"/>
          <w:sz w:val="32"/>
          <w:szCs w:val="32"/>
        </w:rPr>
        <w:t>Avocaților</w:t>
      </w:r>
    </w:p>
    <w:p w14:paraId="4D317165" w14:textId="77777777" w:rsidR="00C65E90" w:rsidRPr="00FF5FFA" w:rsidRDefault="00C65E90" w:rsidP="00C65E90">
      <w:pPr>
        <w:pStyle w:val="Subtitle"/>
        <w:rPr>
          <w:rFonts w:ascii="Verdana" w:hAnsi="Verdana" w:cs="Tahoma"/>
          <w:b/>
          <w:bCs/>
          <w:i/>
          <w:iCs/>
          <w:sz w:val="32"/>
          <w:szCs w:val="32"/>
        </w:rPr>
      </w:pPr>
      <w:r w:rsidRPr="00FF5FFA">
        <w:rPr>
          <w:rFonts w:ascii="Verdana" w:hAnsi="Verdana" w:cs="Tahoma"/>
          <w:b/>
          <w:bCs/>
          <w:i/>
          <w:iCs/>
          <w:sz w:val="32"/>
          <w:szCs w:val="32"/>
        </w:rPr>
        <w:t xml:space="preserve">CONSILIUL </w:t>
      </w:r>
      <w:r w:rsidR="001D2D97" w:rsidRPr="00FF5FFA">
        <w:rPr>
          <w:rFonts w:ascii="Verdana" w:hAnsi="Verdana" w:cs="Tahoma"/>
          <w:b/>
          <w:bCs/>
          <w:i/>
          <w:iCs/>
          <w:sz w:val="32"/>
          <w:szCs w:val="32"/>
        </w:rPr>
        <w:t>DE CONDUCERE</w:t>
      </w:r>
    </w:p>
    <w:p w14:paraId="7CD81B36" w14:textId="77777777" w:rsidR="00C65E90" w:rsidRPr="00551185" w:rsidRDefault="00C65E90" w:rsidP="00C65E90">
      <w:pPr>
        <w:jc w:val="center"/>
        <w:rPr>
          <w:rFonts w:ascii="Verdana" w:hAnsi="Verdana" w:cs="Tahoma"/>
          <w:b/>
          <w:bCs/>
          <w:sz w:val="20"/>
          <w:szCs w:val="20"/>
          <w:u w:val="single"/>
        </w:rPr>
      </w:pPr>
    </w:p>
    <w:p w14:paraId="0998D990" w14:textId="77777777" w:rsidR="00C65E90" w:rsidRPr="00551185" w:rsidRDefault="00C65E90" w:rsidP="00C65E90">
      <w:pPr>
        <w:jc w:val="center"/>
        <w:rPr>
          <w:rFonts w:ascii="Verdana" w:hAnsi="Verdana"/>
          <w:b/>
          <w:sz w:val="20"/>
          <w:szCs w:val="20"/>
        </w:rPr>
      </w:pPr>
    </w:p>
    <w:p w14:paraId="47DF0F00" w14:textId="77777777" w:rsidR="00C65E90" w:rsidRPr="00551185" w:rsidRDefault="00C65E90" w:rsidP="00C65E90">
      <w:pPr>
        <w:jc w:val="center"/>
        <w:rPr>
          <w:rFonts w:ascii="Verdana" w:hAnsi="Verdana"/>
          <w:b/>
          <w:sz w:val="20"/>
          <w:szCs w:val="20"/>
        </w:rPr>
      </w:pPr>
    </w:p>
    <w:p w14:paraId="534F5ADA" w14:textId="20176727" w:rsidR="00C65E90" w:rsidRPr="000D2C9F" w:rsidRDefault="00C65E90" w:rsidP="00C65E90">
      <w:pPr>
        <w:jc w:val="center"/>
        <w:rPr>
          <w:rFonts w:ascii="Verdana" w:hAnsi="Verdana" w:cs="Arial"/>
          <w:b/>
          <w:bCs/>
          <w:spacing w:val="20"/>
          <w:w w:val="150"/>
          <w:sz w:val="32"/>
          <w:szCs w:val="32"/>
        </w:rPr>
      </w:pPr>
      <w:r w:rsidRPr="00FF5FFA">
        <w:rPr>
          <w:rFonts w:ascii="Verdana" w:hAnsi="Verdana" w:cs="Arial"/>
          <w:b/>
          <w:bCs/>
          <w:spacing w:val="20"/>
          <w:w w:val="150"/>
          <w:sz w:val="32"/>
          <w:szCs w:val="32"/>
        </w:rPr>
        <w:t xml:space="preserve">HOTĂRÂREA NR. </w:t>
      </w:r>
      <w:r w:rsidR="0095497E">
        <w:rPr>
          <w:rFonts w:ascii="Verdana" w:hAnsi="Verdana" w:cs="Arial"/>
          <w:b/>
          <w:bCs/>
          <w:spacing w:val="20"/>
          <w:w w:val="150"/>
          <w:sz w:val="32"/>
          <w:szCs w:val="32"/>
        </w:rPr>
        <w:t>1</w:t>
      </w:r>
    </w:p>
    <w:p w14:paraId="265D2D98" w14:textId="45F369A7" w:rsidR="004A5A2B" w:rsidRPr="000D2C9F" w:rsidRDefault="001D2D97" w:rsidP="004A5A2B">
      <w:pPr>
        <w:jc w:val="center"/>
        <w:rPr>
          <w:rFonts w:ascii="Verdana" w:hAnsi="Verdana"/>
          <w:b/>
        </w:rPr>
      </w:pPr>
      <w:r w:rsidRPr="000D2C9F">
        <w:rPr>
          <w:rFonts w:ascii="Verdana" w:hAnsi="Verdana"/>
          <w:b/>
        </w:rPr>
        <w:t xml:space="preserve">privind </w:t>
      </w:r>
      <w:r w:rsidR="00117082" w:rsidRPr="000D2C9F">
        <w:rPr>
          <w:rFonts w:ascii="Verdana" w:hAnsi="Verdana"/>
          <w:b/>
        </w:rPr>
        <w:t xml:space="preserve">începerea anului II de pregătire profesională </w:t>
      </w:r>
      <w:r w:rsidR="009A7D7B" w:rsidRPr="000D2C9F">
        <w:rPr>
          <w:rFonts w:ascii="Verdana" w:hAnsi="Verdana"/>
          <w:b/>
        </w:rPr>
        <w:t>inițială</w:t>
      </w:r>
      <w:r w:rsidR="00117082" w:rsidRPr="000D2C9F">
        <w:rPr>
          <w:rFonts w:ascii="Verdana" w:hAnsi="Verdana"/>
          <w:b/>
        </w:rPr>
        <w:t xml:space="preserve"> </w:t>
      </w:r>
    </w:p>
    <w:p w14:paraId="5FAAF63C" w14:textId="77777777" w:rsidR="001A277B" w:rsidRDefault="001A277B" w:rsidP="00C65E90">
      <w:pPr>
        <w:jc w:val="center"/>
        <w:rPr>
          <w:rFonts w:ascii="Verdana" w:hAnsi="Verdana"/>
          <w:b/>
        </w:rPr>
      </w:pPr>
    </w:p>
    <w:p w14:paraId="3CB549B8" w14:textId="35A73CF4" w:rsidR="00C65E90" w:rsidRPr="00FF5FFA" w:rsidRDefault="0095497E" w:rsidP="00C65E90">
      <w:pPr>
        <w:jc w:val="center"/>
        <w:rPr>
          <w:rFonts w:ascii="Verdana" w:hAnsi="Verdana"/>
          <w:b/>
        </w:rPr>
      </w:pPr>
      <w:r>
        <w:rPr>
          <w:rFonts w:ascii="Verdana" w:hAnsi="Verdana"/>
          <w:b/>
        </w:rPr>
        <w:t xml:space="preserve">10 </w:t>
      </w:r>
      <w:r w:rsidR="00FF1C14">
        <w:rPr>
          <w:rFonts w:ascii="Verdana" w:hAnsi="Verdana"/>
          <w:b/>
        </w:rPr>
        <w:t>ianuarie</w:t>
      </w:r>
      <w:r w:rsidR="00A22B97">
        <w:rPr>
          <w:rFonts w:ascii="Verdana" w:hAnsi="Verdana"/>
          <w:b/>
        </w:rPr>
        <w:t xml:space="preserve"> </w:t>
      </w:r>
      <w:r w:rsidR="005877C9">
        <w:rPr>
          <w:rFonts w:ascii="Verdana" w:hAnsi="Verdana"/>
          <w:b/>
        </w:rPr>
        <w:t>20</w:t>
      </w:r>
      <w:r w:rsidR="005A6B6C">
        <w:rPr>
          <w:rFonts w:ascii="Verdana" w:hAnsi="Verdana"/>
          <w:b/>
        </w:rPr>
        <w:t>2</w:t>
      </w:r>
      <w:r w:rsidR="00FF1C14">
        <w:rPr>
          <w:rFonts w:ascii="Verdana" w:hAnsi="Verdana"/>
          <w:b/>
        </w:rPr>
        <w:t>2</w:t>
      </w:r>
    </w:p>
    <w:p w14:paraId="11D9DD3B" w14:textId="77777777" w:rsidR="00C65E90" w:rsidRDefault="00C65E90" w:rsidP="00C65E90">
      <w:pPr>
        <w:rPr>
          <w:rFonts w:ascii="Verdana" w:hAnsi="Verdana"/>
          <w:b/>
        </w:rPr>
      </w:pPr>
    </w:p>
    <w:p w14:paraId="6E08DB8D" w14:textId="77777777" w:rsidR="00205BB1" w:rsidRDefault="00205BB1" w:rsidP="00C65E90">
      <w:pPr>
        <w:rPr>
          <w:rFonts w:ascii="Verdana" w:hAnsi="Verdana"/>
          <w:b/>
        </w:rPr>
      </w:pPr>
    </w:p>
    <w:p w14:paraId="64DB9620" w14:textId="70853283" w:rsidR="00F632CA" w:rsidRPr="00FF5FFA" w:rsidRDefault="00F632CA" w:rsidP="00F632CA">
      <w:pPr>
        <w:ind w:firstLine="720"/>
        <w:jc w:val="both"/>
        <w:rPr>
          <w:rFonts w:ascii="Verdana" w:hAnsi="Verdana"/>
        </w:rPr>
      </w:pPr>
      <w:r w:rsidRPr="00FF5FFA">
        <w:rPr>
          <w:rFonts w:ascii="Verdana" w:hAnsi="Verdana"/>
        </w:rPr>
        <w:t xml:space="preserve">În conformitate cu </w:t>
      </w:r>
      <w:r w:rsidR="009A7D7B" w:rsidRPr="00FF5FFA">
        <w:rPr>
          <w:rFonts w:ascii="Verdana" w:hAnsi="Verdana"/>
        </w:rPr>
        <w:t>dispozițiile</w:t>
      </w:r>
      <w:r w:rsidR="0068716F">
        <w:rPr>
          <w:rFonts w:ascii="Verdana" w:hAnsi="Verdana"/>
        </w:rPr>
        <w:t xml:space="preserve"> art. 299 alin. (5)</w:t>
      </w:r>
      <w:r w:rsidR="001A277B">
        <w:rPr>
          <w:rFonts w:ascii="Verdana" w:hAnsi="Verdana"/>
        </w:rPr>
        <w:t xml:space="preserve">, </w:t>
      </w:r>
      <w:r w:rsidR="001A277B" w:rsidRPr="00FF5FFA">
        <w:rPr>
          <w:rFonts w:ascii="Verdana" w:hAnsi="Verdana"/>
        </w:rPr>
        <w:t>art. 311 alin. (4)</w:t>
      </w:r>
      <w:r w:rsidR="00EE5B1C">
        <w:rPr>
          <w:rFonts w:ascii="Verdana" w:hAnsi="Verdana"/>
        </w:rPr>
        <w:t xml:space="preserve"> </w:t>
      </w:r>
      <w:r w:rsidR="0068716F">
        <w:rPr>
          <w:rFonts w:ascii="Verdana" w:hAnsi="Verdana"/>
        </w:rPr>
        <w:t xml:space="preserve"> </w:t>
      </w:r>
      <w:r w:rsidR="009A7D7B">
        <w:rPr>
          <w:rFonts w:ascii="Verdana" w:hAnsi="Verdana"/>
        </w:rPr>
        <w:t>și</w:t>
      </w:r>
      <w:r w:rsidR="00EE5B1C">
        <w:rPr>
          <w:rFonts w:ascii="Verdana" w:hAnsi="Verdana"/>
        </w:rPr>
        <w:t xml:space="preserve"> art. 312 alin (1) lit. a) </w:t>
      </w:r>
      <w:r w:rsidRPr="00FF5FFA">
        <w:rPr>
          <w:rFonts w:ascii="Verdana" w:hAnsi="Verdana"/>
        </w:rPr>
        <w:t xml:space="preserve">din Statutul profesiei de avocat, </w:t>
      </w:r>
    </w:p>
    <w:p w14:paraId="571B24A9" w14:textId="2FE2DC4F" w:rsidR="00F632CA" w:rsidRPr="00FF5FFA" w:rsidRDefault="00862359" w:rsidP="00F632CA">
      <w:pPr>
        <w:ind w:firstLine="720"/>
        <w:jc w:val="both"/>
        <w:rPr>
          <w:rFonts w:ascii="Verdana" w:hAnsi="Verdana"/>
        </w:rPr>
      </w:pPr>
      <w:r>
        <w:rPr>
          <w:rFonts w:ascii="Verdana" w:hAnsi="Verdana"/>
        </w:rPr>
        <w:t>Î</w:t>
      </w:r>
      <w:r w:rsidR="00F632CA" w:rsidRPr="00FF5FFA">
        <w:rPr>
          <w:rFonts w:ascii="Verdana" w:hAnsi="Verdana"/>
        </w:rPr>
        <w:t xml:space="preserve">n temeiul </w:t>
      </w:r>
      <w:r w:rsidR="009A7D7B" w:rsidRPr="00FF5FFA">
        <w:rPr>
          <w:rFonts w:ascii="Verdana" w:hAnsi="Verdana"/>
        </w:rPr>
        <w:t>dispozițiilor</w:t>
      </w:r>
      <w:r w:rsidR="00F632CA" w:rsidRPr="00FF5FFA">
        <w:rPr>
          <w:rFonts w:ascii="Verdana" w:hAnsi="Verdana"/>
        </w:rPr>
        <w:t xml:space="preserve"> art. </w:t>
      </w:r>
      <w:r w:rsidR="001A277B">
        <w:rPr>
          <w:rFonts w:ascii="Verdana" w:hAnsi="Verdana"/>
        </w:rPr>
        <w:t xml:space="preserve">5 alin. (1) </w:t>
      </w:r>
      <w:r w:rsidR="009A7D7B">
        <w:rPr>
          <w:rFonts w:ascii="Verdana" w:hAnsi="Verdana"/>
        </w:rPr>
        <w:t>și</w:t>
      </w:r>
      <w:r w:rsidR="001A277B">
        <w:rPr>
          <w:rFonts w:ascii="Verdana" w:hAnsi="Verdana"/>
        </w:rPr>
        <w:t xml:space="preserve"> (2) lit. a), art. 7 alin. (1) lit. b) art. </w:t>
      </w:r>
      <w:r w:rsidR="00F632CA" w:rsidRPr="00FF5FFA">
        <w:rPr>
          <w:rFonts w:ascii="Verdana" w:hAnsi="Verdana"/>
        </w:rPr>
        <w:t>1</w:t>
      </w:r>
      <w:r w:rsidR="00FF5FFA" w:rsidRPr="00FF5FFA">
        <w:rPr>
          <w:rFonts w:ascii="Verdana" w:hAnsi="Verdana"/>
        </w:rPr>
        <w:t xml:space="preserve">3 lit. </w:t>
      </w:r>
      <w:r w:rsidR="00117082">
        <w:rPr>
          <w:rFonts w:ascii="Verdana" w:hAnsi="Verdana"/>
        </w:rPr>
        <w:t xml:space="preserve">e) </w:t>
      </w:r>
      <w:r w:rsidR="009A7D7B">
        <w:rPr>
          <w:rFonts w:ascii="Verdana" w:hAnsi="Verdana"/>
        </w:rPr>
        <w:t>și</w:t>
      </w:r>
      <w:r w:rsidR="00117082">
        <w:rPr>
          <w:rFonts w:ascii="Verdana" w:hAnsi="Verdana"/>
        </w:rPr>
        <w:t xml:space="preserve"> </w:t>
      </w:r>
      <w:r w:rsidR="00FF5FFA" w:rsidRPr="00FF5FFA">
        <w:rPr>
          <w:rFonts w:ascii="Verdana" w:hAnsi="Verdana"/>
        </w:rPr>
        <w:t>k)</w:t>
      </w:r>
      <w:r w:rsidR="00F632CA" w:rsidRPr="00FF5FFA">
        <w:rPr>
          <w:rFonts w:ascii="Verdana" w:hAnsi="Verdana"/>
        </w:rPr>
        <w:t xml:space="preserve"> din Statutul </w:t>
      </w:r>
      <w:r w:rsidR="00A95340" w:rsidRPr="00FF5FFA">
        <w:rPr>
          <w:rFonts w:ascii="Verdana" w:hAnsi="Verdana"/>
        </w:rPr>
        <w:t xml:space="preserve">Institutului </w:t>
      </w:r>
      <w:r w:rsidR="009A7D7B" w:rsidRPr="00FF5FFA">
        <w:rPr>
          <w:rFonts w:ascii="Verdana" w:hAnsi="Verdana"/>
        </w:rPr>
        <w:t>Național</w:t>
      </w:r>
      <w:r w:rsidR="00A95340" w:rsidRPr="00FF5FFA">
        <w:rPr>
          <w:rFonts w:ascii="Verdana" w:hAnsi="Verdana"/>
        </w:rPr>
        <w:t xml:space="preserve"> pentru Pregătirea </w:t>
      </w:r>
      <w:r w:rsidR="009A7D7B" w:rsidRPr="00FF5FFA">
        <w:rPr>
          <w:rFonts w:ascii="Verdana" w:hAnsi="Verdana"/>
        </w:rPr>
        <w:t>și</w:t>
      </w:r>
      <w:r w:rsidR="00A95340" w:rsidRPr="00FF5FFA">
        <w:rPr>
          <w:rFonts w:ascii="Verdana" w:hAnsi="Verdana"/>
        </w:rPr>
        <w:t xml:space="preserve"> </w:t>
      </w:r>
      <w:r w:rsidR="009A7D7B" w:rsidRPr="00FF5FFA">
        <w:rPr>
          <w:rFonts w:ascii="Verdana" w:hAnsi="Verdana"/>
        </w:rPr>
        <w:t>Perfecționarea</w:t>
      </w:r>
      <w:r w:rsidR="00A95340" w:rsidRPr="00FF5FFA">
        <w:rPr>
          <w:rFonts w:ascii="Verdana" w:hAnsi="Verdana"/>
        </w:rPr>
        <w:t xml:space="preserve"> </w:t>
      </w:r>
      <w:r w:rsidR="009A7D7B" w:rsidRPr="00FF5FFA">
        <w:rPr>
          <w:rFonts w:ascii="Verdana" w:hAnsi="Verdana"/>
        </w:rPr>
        <w:t>Avocaților</w:t>
      </w:r>
      <w:r>
        <w:rPr>
          <w:rFonts w:ascii="Verdana" w:hAnsi="Verdana"/>
        </w:rPr>
        <w:t xml:space="preserve"> (I.N.P.P.A.)</w:t>
      </w:r>
      <w:r w:rsidR="00F632CA" w:rsidRPr="00FF5FFA">
        <w:rPr>
          <w:rFonts w:ascii="Verdana" w:hAnsi="Verdana"/>
        </w:rPr>
        <w:t xml:space="preserve">, </w:t>
      </w:r>
    </w:p>
    <w:p w14:paraId="475A5BD5" w14:textId="4B27B3F5" w:rsidR="00F632CA" w:rsidRPr="00FF5FFA" w:rsidRDefault="00862359" w:rsidP="00F632CA">
      <w:pPr>
        <w:ind w:firstLine="720"/>
        <w:jc w:val="both"/>
        <w:rPr>
          <w:rFonts w:ascii="Verdana" w:hAnsi="Verdana"/>
        </w:rPr>
      </w:pPr>
      <w:r>
        <w:rPr>
          <w:rFonts w:ascii="Verdana" w:hAnsi="Verdana"/>
        </w:rPr>
        <w:t>Î</w:t>
      </w:r>
      <w:r w:rsidR="00F632CA" w:rsidRPr="00FF5FFA">
        <w:rPr>
          <w:rFonts w:ascii="Verdana" w:hAnsi="Verdana"/>
        </w:rPr>
        <w:t xml:space="preserve">n acord cu prevederile art. 14 din Regulamentul de Organizare </w:t>
      </w:r>
      <w:r w:rsidR="009A7D7B" w:rsidRPr="00FF5FFA">
        <w:rPr>
          <w:rFonts w:ascii="Verdana" w:hAnsi="Verdana"/>
        </w:rPr>
        <w:t>și</w:t>
      </w:r>
      <w:r w:rsidR="00F632CA" w:rsidRPr="00FF5FFA">
        <w:rPr>
          <w:rFonts w:ascii="Verdana" w:hAnsi="Verdana"/>
        </w:rPr>
        <w:t xml:space="preserve"> </w:t>
      </w:r>
      <w:r w:rsidR="009A7D7B" w:rsidRPr="00FF5FFA">
        <w:rPr>
          <w:rFonts w:ascii="Verdana" w:hAnsi="Verdana"/>
        </w:rPr>
        <w:t>Funcționare</w:t>
      </w:r>
      <w:r w:rsidR="00F632CA" w:rsidRPr="00FF5FFA">
        <w:rPr>
          <w:rFonts w:ascii="Verdana" w:hAnsi="Verdana"/>
        </w:rPr>
        <w:t xml:space="preserve"> al I</w:t>
      </w:r>
      <w:r>
        <w:rPr>
          <w:rFonts w:ascii="Verdana" w:hAnsi="Verdana"/>
        </w:rPr>
        <w:t>.</w:t>
      </w:r>
      <w:r w:rsidR="00F632CA" w:rsidRPr="00FF5FFA">
        <w:rPr>
          <w:rFonts w:ascii="Verdana" w:hAnsi="Verdana"/>
        </w:rPr>
        <w:t>N</w:t>
      </w:r>
      <w:r>
        <w:rPr>
          <w:rFonts w:ascii="Verdana" w:hAnsi="Verdana"/>
        </w:rPr>
        <w:t>.</w:t>
      </w:r>
      <w:r w:rsidR="00F632CA" w:rsidRPr="00FF5FFA">
        <w:rPr>
          <w:rFonts w:ascii="Verdana" w:hAnsi="Verdana"/>
        </w:rPr>
        <w:t>P</w:t>
      </w:r>
      <w:r>
        <w:rPr>
          <w:rFonts w:ascii="Verdana" w:hAnsi="Verdana"/>
        </w:rPr>
        <w:t>.</w:t>
      </w:r>
      <w:r w:rsidR="00F632CA" w:rsidRPr="00FF5FFA">
        <w:rPr>
          <w:rFonts w:ascii="Verdana" w:hAnsi="Verdana"/>
        </w:rPr>
        <w:t>P</w:t>
      </w:r>
      <w:r>
        <w:rPr>
          <w:rFonts w:ascii="Verdana" w:hAnsi="Verdana"/>
        </w:rPr>
        <w:t>.</w:t>
      </w:r>
      <w:r w:rsidR="00F632CA" w:rsidRPr="00FF5FFA">
        <w:rPr>
          <w:rFonts w:ascii="Verdana" w:hAnsi="Verdana"/>
        </w:rPr>
        <w:t>A</w:t>
      </w:r>
      <w:r>
        <w:rPr>
          <w:rFonts w:ascii="Verdana" w:hAnsi="Verdana"/>
        </w:rPr>
        <w:t>.</w:t>
      </w:r>
      <w:r w:rsidR="00F632CA" w:rsidRPr="00FF5FFA">
        <w:rPr>
          <w:rFonts w:ascii="Verdana" w:hAnsi="Verdana"/>
        </w:rPr>
        <w:t xml:space="preserve">, </w:t>
      </w:r>
    </w:p>
    <w:p w14:paraId="4143E82B" w14:textId="77777777" w:rsidR="00862359" w:rsidRDefault="00547A20" w:rsidP="00862359">
      <w:pPr>
        <w:jc w:val="both"/>
        <w:rPr>
          <w:rFonts w:ascii="Verdana" w:hAnsi="Verdana"/>
        </w:rPr>
      </w:pPr>
      <w:r w:rsidRPr="00FF5FFA">
        <w:rPr>
          <w:rFonts w:ascii="Verdana" w:hAnsi="Verdana"/>
        </w:rPr>
        <w:tab/>
      </w:r>
    </w:p>
    <w:p w14:paraId="652E99C1" w14:textId="68360782" w:rsidR="00C65E90" w:rsidRPr="00FF5FFA" w:rsidRDefault="00C65E90" w:rsidP="00862359">
      <w:pPr>
        <w:ind w:firstLine="720"/>
        <w:jc w:val="both"/>
        <w:rPr>
          <w:rFonts w:ascii="Verdana" w:hAnsi="Verdana"/>
        </w:rPr>
      </w:pPr>
      <w:r w:rsidRPr="00FF5FFA">
        <w:rPr>
          <w:rFonts w:ascii="Verdana" w:hAnsi="Verdana"/>
        </w:rPr>
        <w:t xml:space="preserve">Consiliul </w:t>
      </w:r>
      <w:r w:rsidR="00F632CA" w:rsidRPr="00FF5FFA">
        <w:rPr>
          <w:rFonts w:ascii="Verdana" w:hAnsi="Verdana"/>
        </w:rPr>
        <w:t xml:space="preserve">de Conducere </w:t>
      </w:r>
      <w:r w:rsidR="00547A20" w:rsidRPr="00FF5FFA">
        <w:rPr>
          <w:rFonts w:ascii="Verdana" w:hAnsi="Verdana"/>
        </w:rPr>
        <w:t xml:space="preserve">al </w:t>
      </w:r>
      <w:r w:rsidR="00F632CA" w:rsidRPr="00FF5FFA">
        <w:rPr>
          <w:rFonts w:ascii="Verdana" w:hAnsi="Verdana"/>
        </w:rPr>
        <w:t xml:space="preserve">Institutului </w:t>
      </w:r>
      <w:r w:rsidR="009A7D7B" w:rsidRPr="00FF5FFA">
        <w:rPr>
          <w:rFonts w:ascii="Verdana" w:hAnsi="Verdana"/>
        </w:rPr>
        <w:t>Național</w:t>
      </w:r>
      <w:r w:rsidR="00F632CA" w:rsidRPr="00FF5FFA">
        <w:rPr>
          <w:rFonts w:ascii="Verdana" w:hAnsi="Verdana"/>
        </w:rPr>
        <w:t xml:space="preserve"> pentru Pregătirea </w:t>
      </w:r>
      <w:r w:rsidR="009A7D7B" w:rsidRPr="00FF5FFA">
        <w:rPr>
          <w:rFonts w:ascii="Verdana" w:hAnsi="Verdana"/>
        </w:rPr>
        <w:t>și</w:t>
      </w:r>
      <w:r w:rsidR="00F632CA" w:rsidRPr="00FF5FFA">
        <w:rPr>
          <w:rFonts w:ascii="Verdana" w:hAnsi="Verdana"/>
        </w:rPr>
        <w:t xml:space="preserve"> </w:t>
      </w:r>
      <w:r w:rsidR="009A7D7B" w:rsidRPr="00FF5FFA">
        <w:rPr>
          <w:rFonts w:ascii="Verdana" w:hAnsi="Verdana"/>
        </w:rPr>
        <w:t>Perfecționarea</w:t>
      </w:r>
      <w:r w:rsidR="00F632CA" w:rsidRPr="00FF5FFA">
        <w:rPr>
          <w:rFonts w:ascii="Verdana" w:hAnsi="Verdana"/>
        </w:rPr>
        <w:t xml:space="preserve"> </w:t>
      </w:r>
      <w:r w:rsidR="009A7D7B" w:rsidRPr="00FF5FFA">
        <w:rPr>
          <w:rFonts w:ascii="Verdana" w:hAnsi="Verdana"/>
        </w:rPr>
        <w:t>Avocaților</w:t>
      </w:r>
      <w:r w:rsidR="00F632CA" w:rsidRPr="00FF5FFA">
        <w:rPr>
          <w:rFonts w:ascii="Verdana" w:hAnsi="Verdana"/>
        </w:rPr>
        <w:t xml:space="preserve"> </w:t>
      </w:r>
    </w:p>
    <w:p w14:paraId="2C693157" w14:textId="77777777" w:rsidR="00205BB1" w:rsidRPr="00FF5FFA" w:rsidRDefault="00205BB1" w:rsidP="00C65E90">
      <w:pPr>
        <w:jc w:val="both"/>
        <w:rPr>
          <w:rFonts w:ascii="Verdana" w:hAnsi="Verdana"/>
        </w:rPr>
      </w:pPr>
    </w:p>
    <w:p w14:paraId="5A969DF0" w14:textId="77777777" w:rsidR="00C65E90" w:rsidRDefault="00C65E90" w:rsidP="00C65E90">
      <w:pPr>
        <w:jc w:val="center"/>
        <w:rPr>
          <w:rFonts w:ascii="Verdana" w:hAnsi="Verdana"/>
          <w:b/>
        </w:rPr>
      </w:pPr>
      <w:r w:rsidRPr="00FF5FFA">
        <w:rPr>
          <w:rFonts w:ascii="Verdana" w:hAnsi="Verdana"/>
          <w:b/>
        </w:rPr>
        <w:t>HOTĂRĂŞTE:</w:t>
      </w:r>
    </w:p>
    <w:p w14:paraId="5F35D707" w14:textId="77777777" w:rsidR="00205BB1" w:rsidRPr="00FF5FFA" w:rsidRDefault="00205BB1" w:rsidP="00C65E90">
      <w:pPr>
        <w:jc w:val="center"/>
        <w:rPr>
          <w:rFonts w:ascii="Verdana" w:hAnsi="Verdana"/>
          <w:b/>
        </w:rPr>
      </w:pPr>
    </w:p>
    <w:p w14:paraId="7DFC8FEC" w14:textId="36940246" w:rsidR="005114ED" w:rsidRPr="00E7277E" w:rsidRDefault="00A95340" w:rsidP="005114ED">
      <w:pPr>
        <w:ind w:firstLine="720"/>
        <w:jc w:val="both"/>
        <w:rPr>
          <w:rFonts w:ascii="Verdana" w:hAnsi="Verdana"/>
        </w:rPr>
      </w:pPr>
      <w:r w:rsidRPr="00FF5FFA">
        <w:rPr>
          <w:rFonts w:ascii="Verdana" w:hAnsi="Verdana"/>
          <w:b/>
        </w:rPr>
        <w:t xml:space="preserve">Art. 1. </w:t>
      </w:r>
      <w:r w:rsidR="005114ED" w:rsidRPr="005114ED">
        <w:rPr>
          <w:rFonts w:ascii="Verdana" w:hAnsi="Verdana"/>
          <w:bCs/>
        </w:rPr>
        <w:t>(1)</w:t>
      </w:r>
      <w:r w:rsidR="005114ED">
        <w:rPr>
          <w:rFonts w:ascii="Verdana" w:hAnsi="Verdana"/>
          <w:b/>
        </w:rPr>
        <w:t xml:space="preserve"> </w:t>
      </w:r>
      <w:r w:rsidRPr="00FF5FFA">
        <w:rPr>
          <w:rFonts w:ascii="Verdana" w:hAnsi="Verdana"/>
        </w:rPr>
        <w:t>–</w:t>
      </w:r>
      <w:r w:rsidR="00707929">
        <w:rPr>
          <w:rFonts w:ascii="Verdana" w:hAnsi="Verdana"/>
        </w:rPr>
        <w:t xml:space="preserve"> </w:t>
      </w:r>
      <w:r w:rsidR="009A7D7B">
        <w:rPr>
          <w:rFonts w:ascii="Verdana" w:hAnsi="Verdana"/>
        </w:rPr>
        <w:t>Activitățile</w:t>
      </w:r>
      <w:r w:rsidR="00CC47E9">
        <w:rPr>
          <w:rFonts w:ascii="Verdana" w:hAnsi="Verdana"/>
        </w:rPr>
        <w:t xml:space="preserve"> </w:t>
      </w:r>
      <w:r w:rsidR="00514A8D">
        <w:rPr>
          <w:rFonts w:ascii="Verdana" w:hAnsi="Verdana"/>
        </w:rPr>
        <w:t xml:space="preserve">de formare </w:t>
      </w:r>
      <w:r w:rsidR="00CC47E9">
        <w:rPr>
          <w:rFonts w:ascii="Verdana" w:hAnsi="Verdana"/>
        </w:rPr>
        <w:t>aferente a</w:t>
      </w:r>
      <w:r w:rsidR="00117082">
        <w:rPr>
          <w:rFonts w:ascii="Verdana" w:hAnsi="Verdana"/>
        </w:rPr>
        <w:t>nul</w:t>
      </w:r>
      <w:r w:rsidR="00CC47E9">
        <w:rPr>
          <w:rFonts w:ascii="Verdana" w:hAnsi="Verdana"/>
        </w:rPr>
        <w:t>ui</w:t>
      </w:r>
      <w:r w:rsidR="00117082">
        <w:rPr>
          <w:rFonts w:ascii="Verdana" w:hAnsi="Verdana"/>
        </w:rPr>
        <w:t xml:space="preserve"> II de pregătire profesională </w:t>
      </w:r>
      <w:r w:rsidR="009A7D7B">
        <w:rPr>
          <w:rFonts w:ascii="Verdana" w:hAnsi="Verdana"/>
        </w:rPr>
        <w:t>inițială</w:t>
      </w:r>
      <w:r w:rsidR="00117082">
        <w:rPr>
          <w:rFonts w:ascii="Verdana" w:hAnsi="Verdana"/>
        </w:rPr>
        <w:t xml:space="preserve"> v</w:t>
      </w:r>
      <w:r w:rsidR="00CC47E9">
        <w:rPr>
          <w:rFonts w:ascii="Verdana" w:hAnsi="Verdana"/>
        </w:rPr>
        <w:t>or</w:t>
      </w:r>
      <w:r w:rsidR="00117082">
        <w:rPr>
          <w:rFonts w:ascii="Verdana" w:hAnsi="Verdana"/>
        </w:rPr>
        <w:t xml:space="preserve"> începe la data </w:t>
      </w:r>
      <w:r w:rsidR="00425578">
        <w:rPr>
          <w:rFonts w:ascii="Verdana" w:hAnsi="Verdana"/>
          <w:b/>
        </w:rPr>
        <w:t>1</w:t>
      </w:r>
      <w:r w:rsidR="00514A8D">
        <w:rPr>
          <w:rFonts w:ascii="Verdana" w:hAnsi="Verdana"/>
          <w:b/>
        </w:rPr>
        <w:t>7</w:t>
      </w:r>
      <w:r w:rsidR="00425578">
        <w:rPr>
          <w:rFonts w:ascii="Verdana" w:hAnsi="Verdana"/>
          <w:b/>
        </w:rPr>
        <w:t xml:space="preserve"> ianuarie </w:t>
      </w:r>
      <w:r w:rsidR="008B4E22" w:rsidRPr="00862359">
        <w:rPr>
          <w:rFonts w:ascii="Verdana" w:hAnsi="Verdana"/>
          <w:b/>
        </w:rPr>
        <w:t>20</w:t>
      </w:r>
      <w:r w:rsidR="005A6B6C" w:rsidRPr="00862359">
        <w:rPr>
          <w:rFonts w:ascii="Verdana" w:hAnsi="Verdana"/>
          <w:b/>
        </w:rPr>
        <w:t>2</w:t>
      </w:r>
      <w:r w:rsidR="00514A8D">
        <w:rPr>
          <w:rFonts w:ascii="Verdana" w:hAnsi="Verdana"/>
          <w:b/>
        </w:rPr>
        <w:t>2</w:t>
      </w:r>
      <w:r w:rsidR="005114ED">
        <w:rPr>
          <w:rFonts w:ascii="Verdana" w:hAnsi="Verdana"/>
        </w:rPr>
        <w:t xml:space="preserve"> și se vor încheia </w:t>
      </w:r>
      <w:r w:rsidR="005114ED" w:rsidRPr="00E7277E">
        <w:rPr>
          <w:rFonts w:ascii="Verdana" w:hAnsi="Verdana"/>
        </w:rPr>
        <w:t xml:space="preserve">la data de </w:t>
      </w:r>
      <w:r w:rsidR="005114ED" w:rsidRPr="00514A8D">
        <w:rPr>
          <w:rFonts w:ascii="Verdana" w:hAnsi="Verdana"/>
          <w:b/>
        </w:rPr>
        <w:t>2</w:t>
      </w:r>
      <w:r w:rsidR="00514A8D" w:rsidRPr="00514A8D">
        <w:rPr>
          <w:rFonts w:ascii="Verdana" w:hAnsi="Verdana"/>
          <w:b/>
        </w:rPr>
        <w:t xml:space="preserve">4 septembrie </w:t>
      </w:r>
      <w:r w:rsidR="005114ED" w:rsidRPr="00514A8D">
        <w:rPr>
          <w:rFonts w:ascii="Verdana" w:hAnsi="Verdana"/>
          <w:b/>
        </w:rPr>
        <w:t>202</w:t>
      </w:r>
      <w:r w:rsidR="00514A8D" w:rsidRPr="00514A8D">
        <w:rPr>
          <w:rFonts w:ascii="Verdana" w:hAnsi="Verdana"/>
          <w:b/>
        </w:rPr>
        <w:t>2</w:t>
      </w:r>
      <w:r w:rsidR="005114ED" w:rsidRPr="00E7277E">
        <w:rPr>
          <w:rFonts w:ascii="Verdana" w:hAnsi="Verdana"/>
        </w:rPr>
        <w:t>.</w:t>
      </w:r>
    </w:p>
    <w:p w14:paraId="5D2A5B33" w14:textId="77777777" w:rsidR="005114ED" w:rsidRDefault="005114ED" w:rsidP="005114ED">
      <w:pPr>
        <w:ind w:firstLine="720"/>
        <w:jc w:val="both"/>
        <w:rPr>
          <w:rFonts w:ascii="Verdana" w:hAnsi="Verdana"/>
        </w:rPr>
      </w:pPr>
      <w:r w:rsidRPr="00E7277E">
        <w:rPr>
          <w:rFonts w:ascii="Verdana" w:hAnsi="Verdana"/>
        </w:rPr>
        <w:t>(2) În limitele calendaristice prevăzute la alin. (1), structurile I.N.P.P.A. au posibilitatea de a programa activitățile de formare în raport de disponibilitatea formatorilor.</w:t>
      </w:r>
    </w:p>
    <w:p w14:paraId="5D386B0C" w14:textId="4E5DE331" w:rsidR="006B724D" w:rsidRDefault="006B724D" w:rsidP="005114ED">
      <w:pPr>
        <w:ind w:firstLine="720"/>
        <w:jc w:val="both"/>
        <w:rPr>
          <w:rFonts w:ascii="Verdana" w:hAnsi="Verdana"/>
        </w:rPr>
      </w:pPr>
      <w:r>
        <w:rPr>
          <w:rFonts w:ascii="Verdana" w:hAnsi="Verdana"/>
        </w:rPr>
        <w:t xml:space="preserve">(3) </w:t>
      </w:r>
      <w:r w:rsidR="00173BC2">
        <w:rPr>
          <w:rFonts w:ascii="Verdana" w:hAnsi="Verdana"/>
        </w:rPr>
        <w:t>Activitățile de formare vor fi desfășurate exclusiv în sistem on-line. În funcție de evoluția situației epidemiologice și de reglementările emise de autoritățile competente, Consiliul de conducere poate decide reluarea activităților de formare inițială în sistem fizic, cu respectarea prevederilor art. 36 alin. (4) al Regulamentului de organizare și funcționare a I.N.P.P.A.</w:t>
      </w:r>
      <w:r>
        <w:rPr>
          <w:rFonts w:ascii="Verdana" w:hAnsi="Verdana"/>
        </w:rPr>
        <w:t xml:space="preserve">  </w:t>
      </w:r>
    </w:p>
    <w:p w14:paraId="579FFCC0" w14:textId="1F5279F3" w:rsidR="00862359" w:rsidRDefault="00862359" w:rsidP="00862359">
      <w:pPr>
        <w:ind w:firstLine="720"/>
        <w:jc w:val="both"/>
        <w:rPr>
          <w:rFonts w:ascii="Verdana" w:hAnsi="Verdana"/>
        </w:rPr>
      </w:pPr>
      <w:r w:rsidRPr="00117082">
        <w:rPr>
          <w:rFonts w:ascii="Verdana" w:hAnsi="Verdana"/>
          <w:b/>
        </w:rPr>
        <w:t xml:space="preserve">Art. </w:t>
      </w:r>
      <w:r w:rsidR="005114ED">
        <w:rPr>
          <w:rFonts w:ascii="Verdana" w:hAnsi="Verdana"/>
          <w:b/>
        </w:rPr>
        <w:t>2</w:t>
      </w:r>
      <w:r>
        <w:rPr>
          <w:rFonts w:ascii="Verdana" w:hAnsi="Verdana"/>
          <w:b/>
        </w:rPr>
        <w:t xml:space="preserve">. </w:t>
      </w:r>
      <w:r>
        <w:rPr>
          <w:rFonts w:ascii="Verdana" w:hAnsi="Verdana"/>
        </w:rPr>
        <w:t xml:space="preserve">(1) - Taxa de școlarizare aferentă anului II de pregătire profesională </w:t>
      </w:r>
      <w:r w:rsidR="009A7D7B">
        <w:rPr>
          <w:rFonts w:ascii="Verdana" w:hAnsi="Verdana"/>
        </w:rPr>
        <w:t>inițială</w:t>
      </w:r>
      <w:r>
        <w:rPr>
          <w:rFonts w:ascii="Verdana" w:hAnsi="Verdana"/>
        </w:rPr>
        <w:t xml:space="preserve"> este de </w:t>
      </w:r>
      <w:r w:rsidR="00612BF0">
        <w:rPr>
          <w:rFonts w:ascii="Verdana" w:hAnsi="Verdana"/>
        </w:rPr>
        <w:t>700</w:t>
      </w:r>
      <w:r w:rsidRPr="00E040D8">
        <w:rPr>
          <w:rFonts w:ascii="Verdana" w:hAnsi="Verdana"/>
        </w:rPr>
        <w:t xml:space="preserve"> lei</w:t>
      </w:r>
      <w:r>
        <w:rPr>
          <w:rFonts w:ascii="Verdana" w:hAnsi="Verdana"/>
        </w:rPr>
        <w:t xml:space="preserve"> </w:t>
      </w:r>
      <w:r w:rsidR="009A7D7B">
        <w:rPr>
          <w:rFonts w:ascii="Verdana" w:hAnsi="Verdana"/>
        </w:rPr>
        <w:t>și</w:t>
      </w:r>
      <w:r>
        <w:rPr>
          <w:rFonts w:ascii="Verdana" w:hAnsi="Verdana"/>
        </w:rPr>
        <w:t xml:space="preserve"> va fi achitată până la data </w:t>
      </w:r>
      <w:r w:rsidRPr="00612BF0">
        <w:rPr>
          <w:rFonts w:ascii="Verdana" w:hAnsi="Verdana"/>
        </w:rPr>
        <w:t xml:space="preserve">de </w:t>
      </w:r>
      <w:r w:rsidR="00425578" w:rsidRPr="00612BF0">
        <w:rPr>
          <w:rFonts w:ascii="Verdana" w:hAnsi="Verdana"/>
        </w:rPr>
        <w:t>1</w:t>
      </w:r>
      <w:r w:rsidR="00612BF0" w:rsidRPr="00612BF0">
        <w:rPr>
          <w:rFonts w:ascii="Verdana" w:hAnsi="Verdana"/>
        </w:rPr>
        <w:t>4</w:t>
      </w:r>
      <w:r w:rsidRPr="00612BF0">
        <w:rPr>
          <w:rFonts w:ascii="Verdana" w:hAnsi="Verdana"/>
        </w:rPr>
        <w:t xml:space="preserve"> </w:t>
      </w:r>
      <w:r w:rsidR="00425578" w:rsidRPr="00612BF0">
        <w:rPr>
          <w:rFonts w:ascii="Verdana" w:hAnsi="Verdana"/>
        </w:rPr>
        <w:t xml:space="preserve">ianuarie </w:t>
      </w:r>
      <w:r w:rsidRPr="00612BF0">
        <w:rPr>
          <w:rFonts w:ascii="Verdana" w:hAnsi="Verdana"/>
        </w:rPr>
        <w:t>202</w:t>
      </w:r>
      <w:r w:rsidR="00612BF0" w:rsidRPr="00612BF0">
        <w:rPr>
          <w:rFonts w:ascii="Verdana" w:hAnsi="Verdana"/>
        </w:rPr>
        <w:t>2</w:t>
      </w:r>
      <w:r>
        <w:rPr>
          <w:rFonts w:ascii="Verdana" w:hAnsi="Verdana"/>
        </w:rPr>
        <w:t xml:space="preserve">. </w:t>
      </w:r>
    </w:p>
    <w:p w14:paraId="2FB0340F" w14:textId="392C5E20" w:rsidR="00862359" w:rsidRDefault="00862359" w:rsidP="00862359">
      <w:pPr>
        <w:ind w:firstLine="720"/>
        <w:jc w:val="both"/>
        <w:rPr>
          <w:rFonts w:ascii="Verdana" w:hAnsi="Verdana"/>
        </w:rPr>
      </w:pPr>
      <w:r>
        <w:rPr>
          <w:rFonts w:ascii="Verdana" w:hAnsi="Verdana"/>
        </w:rPr>
        <w:t xml:space="preserve">(2) Se face aplicarea corespunzătoare a art. 2 alin. (2) din Hotărârea Consiliului U.N.B.R. nr. 448 din 21 februarie 2009.  </w:t>
      </w:r>
    </w:p>
    <w:p w14:paraId="7623C192" w14:textId="0E4C2F4A" w:rsidR="004F6D3E" w:rsidRDefault="004F6D3E" w:rsidP="00862359">
      <w:pPr>
        <w:ind w:firstLine="720"/>
        <w:jc w:val="both"/>
        <w:rPr>
          <w:rFonts w:ascii="Verdana" w:hAnsi="Verdana"/>
        </w:rPr>
      </w:pPr>
      <w:r>
        <w:rPr>
          <w:rFonts w:ascii="Verdana" w:hAnsi="Verdana"/>
        </w:rPr>
        <w:t xml:space="preserve">(3) </w:t>
      </w:r>
      <w:bookmarkStart w:id="0" w:name="_Hlk59618950"/>
      <w:r w:rsidR="00864D13">
        <w:rPr>
          <w:rFonts w:ascii="Verdana" w:hAnsi="Verdana"/>
        </w:rPr>
        <w:t>Se înscriu în anul II c</w:t>
      </w:r>
      <w:r w:rsidR="006B724D">
        <w:rPr>
          <w:rFonts w:ascii="Verdana" w:hAnsi="Verdana"/>
        </w:rPr>
        <w:t xml:space="preserve">ursanții </w:t>
      </w:r>
      <w:r>
        <w:rPr>
          <w:rFonts w:ascii="Verdana" w:hAnsi="Verdana"/>
        </w:rPr>
        <w:t xml:space="preserve">care nu au promovat </w:t>
      </w:r>
      <w:r w:rsidR="006B724D">
        <w:rPr>
          <w:rFonts w:ascii="Verdana" w:hAnsi="Verdana"/>
        </w:rPr>
        <w:t xml:space="preserve">integral </w:t>
      </w:r>
      <w:r>
        <w:rPr>
          <w:rFonts w:ascii="Verdana" w:hAnsi="Verdana"/>
        </w:rPr>
        <w:t>anul I de pregătire profesională inițială în anul 202</w:t>
      </w:r>
      <w:r w:rsidR="00612BF0">
        <w:rPr>
          <w:rFonts w:ascii="Verdana" w:hAnsi="Verdana"/>
        </w:rPr>
        <w:t>1</w:t>
      </w:r>
      <w:r w:rsidR="00864D13">
        <w:rPr>
          <w:rFonts w:ascii="Verdana" w:hAnsi="Verdana"/>
        </w:rPr>
        <w:t>, cu obligația de a reface integral, potrivit dispozițiilor art. 46 sau, după caz, art. 48 alin. (6) din Regul</w:t>
      </w:r>
      <w:r w:rsidR="00087153">
        <w:rPr>
          <w:rFonts w:ascii="Verdana" w:hAnsi="Verdana"/>
        </w:rPr>
        <w:t>a</w:t>
      </w:r>
      <w:r w:rsidR="00864D13">
        <w:rPr>
          <w:rFonts w:ascii="Verdana" w:hAnsi="Verdana"/>
        </w:rPr>
        <w:t xml:space="preserve">mentul de organizare și funcționare a I.N.P.P.A., </w:t>
      </w:r>
      <w:r>
        <w:rPr>
          <w:rFonts w:ascii="Verdana" w:hAnsi="Verdana"/>
        </w:rPr>
        <w:t xml:space="preserve"> activitatea de formare la disciplinele nepromovate</w:t>
      </w:r>
      <w:r w:rsidR="00864D13">
        <w:rPr>
          <w:rFonts w:ascii="Verdana" w:hAnsi="Verdana"/>
        </w:rPr>
        <w:t xml:space="preserve">. </w:t>
      </w:r>
      <w:r w:rsidR="00087153">
        <w:rPr>
          <w:rFonts w:ascii="Verdana" w:hAnsi="Verdana"/>
        </w:rPr>
        <w:t xml:space="preserve">În acest scop, acești cursanți vor fi afiliați de secretariatul I.N.P.P.A. unor grupe de cursanți din anul I, fără plata unei taxe, și vor respecta calendarul publicat al activității de formare de la grupele la care sunt afiliați. </w:t>
      </w:r>
      <w:bookmarkEnd w:id="0"/>
    </w:p>
    <w:p w14:paraId="40341C83" w14:textId="02E1AEF0" w:rsidR="00864D13" w:rsidRDefault="00864D13" w:rsidP="00864D13">
      <w:pPr>
        <w:ind w:firstLine="720"/>
        <w:jc w:val="both"/>
        <w:rPr>
          <w:rFonts w:ascii="Verdana" w:hAnsi="Verdana"/>
        </w:rPr>
      </w:pPr>
      <w:r>
        <w:rPr>
          <w:rFonts w:ascii="Verdana" w:hAnsi="Verdana"/>
        </w:rPr>
        <w:t>(</w:t>
      </w:r>
      <w:r w:rsidR="00087153">
        <w:rPr>
          <w:rFonts w:ascii="Verdana" w:hAnsi="Verdana"/>
        </w:rPr>
        <w:t>4</w:t>
      </w:r>
      <w:r>
        <w:rPr>
          <w:rFonts w:ascii="Verdana" w:hAnsi="Verdana"/>
        </w:rPr>
        <w:t xml:space="preserve">) </w:t>
      </w:r>
      <w:r w:rsidR="00087153">
        <w:rPr>
          <w:rFonts w:ascii="Verdana" w:hAnsi="Verdana"/>
        </w:rPr>
        <w:t>Cursanții care nu au promovat integral anul II de pregătire profesională inițială în anul 202</w:t>
      </w:r>
      <w:r w:rsidR="00612BF0">
        <w:rPr>
          <w:rFonts w:ascii="Verdana" w:hAnsi="Verdana"/>
        </w:rPr>
        <w:t>1</w:t>
      </w:r>
      <w:r w:rsidR="00087153">
        <w:rPr>
          <w:rFonts w:ascii="Verdana" w:hAnsi="Verdana"/>
        </w:rPr>
        <w:t xml:space="preserve"> au obligația de a reface integral, potrivit dispozițiilor art. 46 sau, după caz, art. 48 alin. (6) din Regulamentul de organizare și funcționare a </w:t>
      </w:r>
      <w:r w:rsidR="00087153">
        <w:rPr>
          <w:rFonts w:ascii="Verdana" w:hAnsi="Verdana"/>
        </w:rPr>
        <w:lastRenderedPageBreak/>
        <w:t>I.N.P.P.A., activitatea de formare la disciplinele nepromovate. În acest scop, acești cursanți vor fi afiliați de secretariatul I.N.P.P.A. unor grupe de cursanți din anul II, fără plata unei taxe, și vor respecta calendarul publicat al activității de formare de la grupele la care sunt afiliați.</w:t>
      </w:r>
      <w:r>
        <w:rPr>
          <w:rFonts w:ascii="Verdana" w:hAnsi="Verdana"/>
        </w:rPr>
        <w:t xml:space="preserve"> </w:t>
      </w:r>
    </w:p>
    <w:p w14:paraId="15C9E2EB" w14:textId="77777777" w:rsidR="00F83CA2" w:rsidRDefault="00F83CA2" w:rsidP="00A95340">
      <w:pPr>
        <w:ind w:firstLine="720"/>
        <w:jc w:val="both"/>
        <w:rPr>
          <w:rFonts w:ascii="Verdana" w:hAnsi="Verdana"/>
        </w:rPr>
      </w:pPr>
    </w:p>
    <w:p w14:paraId="7D12FF13" w14:textId="2DCC4BA2" w:rsidR="00EE5B1C" w:rsidRPr="00EE5B1C" w:rsidRDefault="00EE5B1C" w:rsidP="00A95340">
      <w:pPr>
        <w:ind w:firstLine="720"/>
        <w:jc w:val="both"/>
        <w:rPr>
          <w:rFonts w:ascii="Verdana" w:hAnsi="Verdana"/>
        </w:rPr>
      </w:pPr>
      <w:r w:rsidRPr="00EE5B1C">
        <w:rPr>
          <w:rFonts w:ascii="Verdana" w:hAnsi="Verdana"/>
          <w:b/>
        </w:rPr>
        <w:t xml:space="preserve">Art. </w:t>
      </w:r>
      <w:r w:rsidR="00A1748D">
        <w:rPr>
          <w:rFonts w:ascii="Verdana" w:hAnsi="Verdana"/>
          <w:b/>
        </w:rPr>
        <w:t>3</w:t>
      </w:r>
      <w:r>
        <w:rPr>
          <w:rFonts w:ascii="Verdana" w:hAnsi="Verdana"/>
          <w:b/>
        </w:rPr>
        <w:t xml:space="preserve">. </w:t>
      </w:r>
      <w:r>
        <w:rPr>
          <w:rFonts w:ascii="Verdana" w:hAnsi="Verdana"/>
        </w:rPr>
        <w:t xml:space="preserve">– Prezenta hotărâre se comunică </w:t>
      </w:r>
      <w:r w:rsidR="00C40901">
        <w:rPr>
          <w:rFonts w:ascii="Verdana" w:hAnsi="Verdana"/>
        </w:rPr>
        <w:t>U.N.B.R.</w:t>
      </w:r>
      <w:r>
        <w:rPr>
          <w:rFonts w:ascii="Verdana" w:hAnsi="Verdana"/>
        </w:rPr>
        <w:t xml:space="preserve">, </w:t>
      </w:r>
      <w:r w:rsidR="00862359">
        <w:rPr>
          <w:rFonts w:ascii="Verdana" w:hAnsi="Verdana"/>
        </w:rPr>
        <w:t xml:space="preserve">structurilor </w:t>
      </w:r>
      <w:r>
        <w:rPr>
          <w:rFonts w:ascii="Verdana" w:hAnsi="Verdana"/>
        </w:rPr>
        <w:t>I</w:t>
      </w:r>
      <w:r w:rsidR="00862359">
        <w:rPr>
          <w:rFonts w:ascii="Verdana" w:hAnsi="Verdana"/>
        </w:rPr>
        <w:t>.</w:t>
      </w:r>
      <w:r>
        <w:rPr>
          <w:rFonts w:ascii="Verdana" w:hAnsi="Verdana"/>
        </w:rPr>
        <w:t>N</w:t>
      </w:r>
      <w:r w:rsidR="00862359">
        <w:rPr>
          <w:rFonts w:ascii="Verdana" w:hAnsi="Verdana"/>
        </w:rPr>
        <w:t>.</w:t>
      </w:r>
      <w:r>
        <w:rPr>
          <w:rFonts w:ascii="Verdana" w:hAnsi="Verdana"/>
        </w:rPr>
        <w:t>P</w:t>
      </w:r>
      <w:r w:rsidR="00862359">
        <w:rPr>
          <w:rFonts w:ascii="Verdana" w:hAnsi="Verdana"/>
        </w:rPr>
        <w:t>.</w:t>
      </w:r>
      <w:r>
        <w:rPr>
          <w:rFonts w:ascii="Verdana" w:hAnsi="Verdana"/>
        </w:rPr>
        <w:t>P</w:t>
      </w:r>
      <w:r w:rsidR="00862359">
        <w:rPr>
          <w:rFonts w:ascii="Verdana" w:hAnsi="Verdana"/>
        </w:rPr>
        <w:t>.</w:t>
      </w:r>
      <w:r>
        <w:rPr>
          <w:rFonts w:ascii="Verdana" w:hAnsi="Verdana"/>
        </w:rPr>
        <w:t>A</w:t>
      </w:r>
      <w:r w:rsidR="00862359">
        <w:rPr>
          <w:rFonts w:ascii="Verdana" w:hAnsi="Verdana"/>
        </w:rPr>
        <w:t>.</w:t>
      </w:r>
      <w:r>
        <w:rPr>
          <w:rFonts w:ascii="Verdana" w:hAnsi="Verdana"/>
        </w:rPr>
        <w:t xml:space="preserve"> </w:t>
      </w:r>
      <w:r w:rsidR="00961252">
        <w:rPr>
          <w:rFonts w:ascii="Verdana" w:hAnsi="Verdana"/>
        </w:rPr>
        <w:t>și</w:t>
      </w:r>
      <w:r>
        <w:rPr>
          <w:rFonts w:ascii="Verdana" w:hAnsi="Verdana"/>
        </w:rPr>
        <w:t xml:space="preserve"> se publică pe site-ul </w:t>
      </w:r>
      <w:hyperlink r:id="rId6" w:history="1">
        <w:r w:rsidRPr="009A4655">
          <w:rPr>
            <w:rStyle w:val="Hyperlink"/>
            <w:rFonts w:ascii="Verdana" w:hAnsi="Verdana"/>
          </w:rPr>
          <w:t>www.inppa.ro</w:t>
        </w:r>
      </w:hyperlink>
      <w:r>
        <w:rPr>
          <w:rFonts w:ascii="Verdana" w:hAnsi="Verdana"/>
        </w:rPr>
        <w:t xml:space="preserve">. </w:t>
      </w:r>
    </w:p>
    <w:p w14:paraId="5CD07476" w14:textId="77777777" w:rsidR="007E3E37" w:rsidRDefault="007E3E37" w:rsidP="00A95340">
      <w:pPr>
        <w:ind w:firstLine="720"/>
        <w:jc w:val="both"/>
        <w:rPr>
          <w:rFonts w:ascii="Verdana" w:hAnsi="Verdana"/>
        </w:rPr>
      </w:pPr>
    </w:p>
    <w:p w14:paraId="503F9C18" w14:textId="1AD0CECA" w:rsidR="0035049C" w:rsidRDefault="00F445FA" w:rsidP="00F445FA">
      <w:pPr>
        <w:tabs>
          <w:tab w:val="left" w:pos="8219"/>
        </w:tabs>
        <w:rPr>
          <w:rFonts w:ascii="Verdana" w:hAnsi="Verdana" w:cs="Arial"/>
          <w:b/>
          <w:bCs/>
        </w:rPr>
      </w:pPr>
      <w:r>
        <w:rPr>
          <w:rFonts w:ascii="Verdana" w:hAnsi="Verdana"/>
        </w:rPr>
        <w:tab/>
      </w:r>
    </w:p>
    <w:p w14:paraId="33543556" w14:textId="77777777" w:rsidR="00205BB1" w:rsidRDefault="0035049C" w:rsidP="005202EE">
      <w:pPr>
        <w:jc w:val="center"/>
        <w:rPr>
          <w:rFonts w:ascii="Verdana" w:hAnsi="Verdana" w:cs="Arial"/>
          <w:b/>
          <w:bCs/>
        </w:rPr>
      </w:pPr>
      <w:r>
        <w:rPr>
          <w:rFonts w:ascii="Verdana" w:hAnsi="Verdana" w:cs="Arial"/>
          <w:b/>
          <w:bCs/>
        </w:rPr>
        <w:t>CONSILIUL DE CONDUCERE AL I</w:t>
      </w:r>
      <w:r w:rsidR="00FE5C81">
        <w:rPr>
          <w:rFonts w:ascii="Verdana" w:hAnsi="Verdana" w:cs="Arial"/>
          <w:b/>
          <w:bCs/>
        </w:rPr>
        <w:t>.</w:t>
      </w:r>
      <w:r>
        <w:rPr>
          <w:rFonts w:ascii="Verdana" w:hAnsi="Verdana" w:cs="Arial"/>
          <w:b/>
          <w:bCs/>
        </w:rPr>
        <w:t>N</w:t>
      </w:r>
      <w:r w:rsidR="00FE5C81">
        <w:rPr>
          <w:rFonts w:ascii="Verdana" w:hAnsi="Verdana" w:cs="Arial"/>
          <w:b/>
          <w:bCs/>
        </w:rPr>
        <w:t>.</w:t>
      </w:r>
      <w:r>
        <w:rPr>
          <w:rFonts w:ascii="Verdana" w:hAnsi="Verdana" w:cs="Arial"/>
          <w:b/>
          <w:bCs/>
        </w:rPr>
        <w:t>P</w:t>
      </w:r>
      <w:r w:rsidR="00FE5C81">
        <w:rPr>
          <w:rFonts w:ascii="Verdana" w:hAnsi="Verdana" w:cs="Arial"/>
          <w:b/>
          <w:bCs/>
        </w:rPr>
        <w:t>.</w:t>
      </w:r>
      <w:r>
        <w:rPr>
          <w:rFonts w:ascii="Verdana" w:hAnsi="Verdana" w:cs="Arial"/>
          <w:b/>
          <w:bCs/>
        </w:rPr>
        <w:t>P</w:t>
      </w:r>
      <w:r w:rsidR="00FE5C81">
        <w:rPr>
          <w:rFonts w:ascii="Verdana" w:hAnsi="Verdana" w:cs="Arial"/>
          <w:b/>
          <w:bCs/>
        </w:rPr>
        <w:t>.</w:t>
      </w:r>
      <w:r>
        <w:rPr>
          <w:rFonts w:ascii="Verdana" w:hAnsi="Verdana" w:cs="Arial"/>
          <w:b/>
          <w:bCs/>
        </w:rPr>
        <w:t>A</w:t>
      </w:r>
      <w:r w:rsidR="00FE5C81">
        <w:rPr>
          <w:rFonts w:ascii="Verdana" w:hAnsi="Verdana" w:cs="Arial"/>
          <w:b/>
          <w:bCs/>
        </w:rPr>
        <w:t>.</w:t>
      </w:r>
    </w:p>
    <w:sectPr w:rsidR="00205BB1" w:rsidSect="00757028">
      <w:footerReference w:type="even" r:id="rId7"/>
      <w:footerReference w:type="default" r:id="rId8"/>
      <w:pgSz w:w="11909" w:h="16834" w:code="9"/>
      <w:pgMar w:top="990" w:right="720" w:bottom="720" w:left="1440" w:header="706"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AC30" w14:textId="77777777" w:rsidR="00A4112C" w:rsidRDefault="00A4112C">
      <w:r>
        <w:separator/>
      </w:r>
    </w:p>
  </w:endnote>
  <w:endnote w:type="continuationSeparator" w:id="0">
    <w:p w14:paraId="73DE80A6" w14:textId="77777777" w:rsidR="00A4112C" w:rsidRDefault="00A4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906" w14:textId="77777777"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73699"/>
      <w:docPartObj>
        <w:docPartGallery w:val="Page Numbers (Bottom of Page)"/>
        <w:docPartUnique/>
      </w:docPartObj>
    </w:sdtPr>
    <w:sdtEndPr>
      <w:rPr>
        <w:noProof/>
      </w:rPr>
    </w:sdtEndPr>
    <w:sdtContent>
      <w:p w14:paraId="552B5312" w14:textId="0AB6F52B" w:rsidR="00961252" w:rsidRDefault="00961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4D22" w14:textId="77777777" w:rsidR="00A4112C" w:rsidRDefault="00A4112C">
      <w:r>
        <w:separator/>
      </w:r>
    </w:p>
  </w:footnote>
  <w:footnote w:type="continuationSeparator" w:id="0">
    <w:p w14:paraId="5DC8F79B" w14:textId="77777777" w:rsidR="00A4112C" w:rsidRDefault="00A41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16BE1"/>
    <w:rsid w:val="0003304D"/>
    <w:rsid w:val="00043BB5"/>
    <w:rsid w:val="00062DB0"/>
    <w:rsid w:val="0008278A"/>
    <w:rsid w:val="00087153"/>
    <w:rsid w:val="000A49B0"/>
    <w:rsid w:val="000D2C9F"/>
    <w:rsid w:val="000D3545"/>
    <w:rsid w:val="00117082"/>
    <w:rsid w:val="00173BC2"/>
    <w:rsid w:val="00185D1B"/>
    <w:rsid w:val="001A277B"/>
    <w:rsid w:val="001A2C6C"/>
    <w:rsid w:val="001D2D97"/>
    <w:rsid w:val="002001FF"/>
    <w:rsid w:val="00204D14"/>
    <w:rsid w:val="00205BB1"/>
    <w:rsid w:val="002129AE"/>
    <w:rsid w:val="0026256A"/>
    <w:rsid w:val="00283EB8"/>
    <w:rsid w:val="002A366F"/>
    <w:rsid w:val="002B1B5D"/>
    <w:rsid w:val="002F0FF4"/>
    <w:rsid w:val="0035049C"/>
    <w:rsid w:val="003564EA"/>
    <w:rsid w:val="00362262"/>
    <w:rsid w:val="00362C53"/>
    <w:rsid w:val="003666A5"/>
    <w:rsid w:val="0037579F"/>
    <w:rsid w:val="00383ABB"/>
    <w:rsid w:val="003C6FFB"/>
    <w:rsid w:val="003E4C73"/>
    <w:rsid w:val="003E58EE"/>
    <w:rsid w:val="00424F48"/>
    <w:rsid w:val="00425578"/>
    <w:rsid w:val="0043358F"/>
    <w:rsid w:val="0045794F"/>
    <w:rsid w:val="00464865"/>
    <w:rsid w:val="0046781E"/>
    <w:rsid w:val="004708BF"/>
    <w:rsid w:val="00477341"/>
    <w:rsid w:val="004A5A2B"/>
    <w:rsid w:val="004B0831"/>
    <w:rsid w:val="004B62C7"/>
    <w:rsid w:val="004E4B05"/>
    <w:rsid w:val="004F3B2C"/>
    <w:rsid w:val="004F6D3E"/>
    <w:rsid w:val="005114ED"/>
    <w:rsid w:val="00514A8D"/>
    <w:rsid w:val="005202EE"/>
    <w:rsid w:val="0053153B"/>
    <w:rsid w:val="00547A20"/>
    <w:rsid w:val="00551185"/>
    <w:rsid w:val="00563E8D"/>
    <w:rsid w:val="005718E0"/>
    <w:rsid w:val="005877C9"/>
    <w:rsid w:val="0059059A"/>
    <w:rsid w:val="005909C7"/>
    <w:rsid w:val="005A6B6C"/>
    <w:rsid w:val="005C573E"/>
    <w:rsid w:val="005F4238"/>
    <w:rsid w:val="006032CA"/>
    <w:rsid w:val="00612BF0"/>
    <w:rsid w:val="006248BB"/>
    <w:rsid w:val="00667931"/>
    <w:rsid w:val="00674BCB"/>
    <w:rsid w:val="006829E4"/>
    <w:rsid w:val="0068716F"/>
    <w:rsid w:val="00687362"/>
    <w:rsid w:val="006B724D"/>
    <w:rsid w:val="006D7013"/>
    <w:rsid w:val="006F3FD9"/>
    <w:rsid w:val="00707929"/>
    <w:rsid w:val="0071622D"/>
    <w:rsid w:val="00716430"/>
    <w:rsid w:val="007209F4"/>
    <w:rsid w:val="00732FB2"/>
    <w:rsid w:val="00757028"/>
    <w:rsid w:val="0077088C"/>
    <w:rsid w:val="00773F16"/>
    <w:rsid w:val="00775C09"/>
    <w:rsid w:val="007778BE"/>
    <w:rsid w:val="00786537"/>
    <w:rsid w:val="007A61A4"/>
    <w:rsid w:val="007E3E37"/>
    <w:rsid w:val="007F4398"/>
    <w:rsid w:val="008257BC"/>
    <w:rsid w:val="00840B35"/>
    <w:rsid w:val="00847B07"/>
    <w:rsid w:val="00853571"/>
    <w:rsid w:val="00862359"/>
    <w:rsid w:val="00864D13"/>
    <w:rsid w:val="008759EF"/>
    <w:rsid w:val="008B4E22"/>
    <w:rsid w:val="008C63AD"/>
    <w:rsid w:val="008C7B64"/>
    <w:rsid w:val="008F1984"/>
    <w:rsid w:val="009402AD"/>
    <w:rsid w:val="0094557F"/>
    <w:rsid w:val="0094716D"/>
    <w:rsid w:val="0095497E"/>
    <w:rsid w:val="00960CA0"/>
    <w:rsid w:val="00961252"/>
    <w:rsid w:val="009739E5"/>
    <w:rsid w:val="00973E89"/>
    <w:rsid w:val="00981FF0"/>
    <w:rsid w:val="00997B94"/>
    <w:rsid w:val="009A7D7B"/>
    <w:rsid w:val="009B047C"/>
    <w:rsid w:val="009E63DB"/>
    <w:rsid w:val="009F1020"/>
    <w:rsid w:val="009F549F"/>
    <w:rsid w:val="00A1748D"/>
    <w:rsid w:val="00A22B97"/>
    <w:rsid w:val="00A40193"/>
    <w:rsid w:val="00A4112C"/>
    <w:rsid w:val="00A411A1"/>
    <w:rsid w:val="00A52674"/>
    <w:rsid w:val="00A95340"/>
    <w:rsid w:val="00AB42CD"/>
    <w:rsid w:val="00AC622C"/>
    <w:rsid w:val="00AE3C77"/>
    <w:rsid w:val="00AF7251"/>
    <w:rsid w:val="00B1285C"/>
    <w:rsid w:val="00B22DAE"/>
    <w:rsid w:val="00B60671"/>
    <w:rsid w:val="00C21290"/>
    <w:rsid w:val="00C219DF"/>
    <w:rsid w:val="00C25640"/>
    <w:rsid w:val="00C40901"/>
    <w:rsid w:val="00C429C3"/>
    <w:rsid w:val="00C65E90"/>
    <w:rsid w:val="00CB5A6E"/>
    <w:rsid w:val="00CC47E9"/>
    <w:rsid w:val="00CE59DF"/>
    <w:rsid w:val="00D51A68"/>
    <w:rsid w:val="00D716F7"/>
    <w:rsid w:val="00D85B43"/>
    <w:rsid w:val="00DA0EED"/>
    <w:rsid w:val="00DA1C59"/>
    <w:rsid w:val="00DB5072"/>
    <w:rsid w:val="00DC4207"/>
    <w:rsid w:val="00DE1F11"/>
    <w:rsid w:val="00E040D8"/>
    <w:rsid w:val="00E61A30"/>
    <w:rsid w:val="00E72989"/>
    <w:rsid w:val="00EB2DAD"/>
    <w:rsid w:val="00EC136E"/>
    <w:rsid w:val="00EC4154"/>
    <w:rsid w:val="00EE5B1C"/>
    <w:rsid w:val="00F20057"/>
    <w:rsid w:val="00F33D91"/>
    <w:rsid w:val="00F445FA"/>
    <w:rsid w:val="00F54A5D"/>
    <w:rsid w:val="00F61FD9"/>
    <w:rsid w:val="00F632CA"/>
    <w:rsid w:val="00F834B3"/>
    <w:rsid w:val="00F83CA2"/>
    <w:rsid w:val="00F87BB3"/>
    <w:rsid w:val="00FB6F44"/>
    <w:rsid w:val="00FC4538"/>
    <w:rsid w:val="00FE5C81"/>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pa.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2605</Characters>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3048</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2016-03-29T11:13:00Z</cp:lastPrinted>
  <dcterms:created xsi:type="dcterms:W3CDTF">2022-01-12T08:34:00Z</dcterms:created>
  <dcterms:modified xsi:type="dcterms:W3CDTF">2022-01-12T11:22:00Z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